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240" w:beforeLines="100" w:after="240" w:afterLines="100" w:line="578" w:lineRule="exact"/>
        <w:ind w:left="0" w:firstLine="0"/>
        <w:textAlignment w:val="auto"/>
        <w:rPr>
          <w:rFonts w:ascii="方正小标宋_GBK" w:hAnsi="方正小标宋_GBK" w:eastAsia="方正小标宋_GBK"/>
          <w:sz w:val="44"/>
          <w:szCs w:val="44"/>
        </w:rPr>
      </w:pPr>
      <w:bookmarkStart w:id="0" w:name="_Toc22631707"/>
      <w:r>
        <w:rPr>
          <w:rFonts w:hint="eastAsia" w:ascii="方正小标宋_GBK" w:hAnsi="方正小标宋_GBK" w:eastAsia="方正小标宋_GBK"/>
          <w:sz w:val="44"/>
          <w:szCs w:val="44"/>
        </w:rPr>
        <w:t>电力市场信息披露</w:t>
      </w:r>
      <w:r>
        <w:rPr>
          <w:rFonts w:hint="eastAsia" w:ascii="方正小标宋_GBK" w:hAnsi="方正小标宋_GBK" w:eastAsia="方正小标宋_GBK"/>
          <w:sz w:val="44"/>
          <w:szCs w:val="44"/>
          <w:lang w:eastAsia="zh-CN"/>
        </w:rPr>
        <w:t>基本</w:t>
      </w:r>
      <w:r>
        <w:rPr>
          <w:rFonts w:hint="eastAsia" w:ascii="方正小标宋_GBK" w:hAnsi="方正小标宋_GBK" w:eastAsia="方正小标宋_GBK"/>
          <w:sz w:val="44"/>
          <w:szCs w:val="44"/>
        </w:rPr>
        <w:t>规则</w:t>
      </w:r>
    </w:p>
    <w:p>
      <w:pPr>
        <w:pStyle w:val="16"/>
        <w:numPr>
          <w:ilvl w:val="0"/>
          <w:numId w:val="0"/>
        </w:numPr>
        <w:jc w:val="center"/>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（征求意见稿）</w:t>
      </w:r>
    </w:p>
    <w:p>
      <w:pPr>
        <w:pStyle w:val="15"/>
        <w:spacing w:before="0" w:beforeLines="0" w:after="0" w:afterLines="0" w:line="560" w:lineRule="exact"/>
        <w:ind w:left="0" w:firstLine="0"/>
        <w:textAlignment w:val="auto"/>
        <w:rPr>
          <w:rFonts w:ascii="方正黑体_GBK" w:hAnsi="方正黑体_GBK" w:eastAsia="方正黑体_GBK"/>
          <w:sz w:val="32"/>
          <w:szCs w:val="32"/>
        </w:rPr>
      </w:pPr>
      <w:r>
        <w:rPr>
          <w:rFonts w:ascii="方正黑体_GBK" w:hAnsi="方正黑体_GBK" w:eastAsia="方正黑体_GBK"/>
          <w:sz w:val="32"/>
          <w:szCs w:val="32"/>
        </w:rPr>
        <w:t xml:space="preserve">第一章 总 </w:t>
      </w:r>
      <w:bookmarkEnd w:id="0"/>
      <w:r>
        <w:rPr>
          <w:rFonts w:ascii="方正黑体_GBK" w:hAnsi="方正黑体_GBK" w:eastAsia="方正黑体_GBK"/>
          <w:sz w:val="32"/>
          <w:szCs w:val="32"/>
        </w:rPr>
        <w:t>则</w:t>
      </w:r>
    </w:p>
    <w:p>
      <w:pPr>
        <w:pStyle w:val="16"/>
        <w:numPr>
          <w:ilvl w:val="0"/>
          <w:numId w:val="2"/>
        </w:numPr>
        <w:spacing w:line="560" w:lineRule="exact"/>
        <w:ind w:firstLine="640" w:firstLineChars="200"/>
        <w:jc w:val="both"/>
        <w:textAlignment w:val="auto"/>
        <w:rPr>
          <w:rFonts w:eastAsia="方正仿宋_GBK"/>
          <w:sz w:val="32"/>
          <w:szCs w:val="32"/>
          <w:lang w:val="zh-CN"/>
        </w:rPr>
      </w:pPr>
      <w:bookmarkStart w:id="1" w:name="_Ref487208873"/>
      <w:bookmarkStart w:id="2" w:name="_Toc22631708"/>
      <w:r>
        <w:rPr>
          <w:rFonts w:eastAsia="方正仿宋_GBK"/>
          <w:sz w:val="32"/>
          <w:szCs w:val="32"/>
        </w:rPr>
        <w:t>为</w:t>
      </w:r>
      <w:r>
        <w:rPr>
          <w:rFonts w:hint="eastAsia" w:eastAsia="方正仿宋_GBK"/>
          <w:sz w:val="32"/>
          <w:szCs w:val="32"/>
          <w:lang w:eastAsia="zh-CN"/>
        </w:rPr>
        <w:t>贯彻落实党中央、国务院</w:t>
      </w:r>
      <w:r>
        <w:rPr>
          <w:rFonts w:eastAsia="方正仿宋_GBK"/>
          <w:sz w:val="32"/>
          <w:szCs w:val="32"/>
          <w:lang w:val="zh-CN"/>
        </w:rPr>
        <w:t>进一步深化电力体制改革</w:t>
      </w:r>
      <w:r>
        <w:rPr>
          <w:rFonts w:hint="eastAsia" w:eastAsia="方正仿宋_GBK"/>
          <w:sz w:val="32"/>
          <w:szCs w:val="32"/>
          <w:lang w:val="zh-CN"/>
        </w:rPr>
        <w:t>、加快建设全国统一大市场的有关精神，统一全国电力市场信息披露机制，</w:t>
      </w:r>
      <w:r>
        <w:rPr>
          <w:rFonts w:eastAsia="方正仿宋_GBK"/>
          <w:sz w:val="32"/>
          <w:szCs w:val="32"/>
          <w:lang w:val="zh-CN"/>
        </w:rPr>
        <w:t>加强</w:t>
      </w:r>
      <w:r>
        <w:rPr>
          <w:rFonts w:hint="eastAsia" w:eastAsia="方正仿宋_GBK"/>
          <w:sz w:val="32"/>
          <w:szCs w:val="32"/>
          <w:lang w:val="zh-CN"/>
        </w:rPr>
        <w:t>和</w:t>
      </w:r>
      <w:r>
        <w:rPr>
          <w:rFonts w:eastAsia="方正仿宋_GBK"/>
          <w:sz w:val="32"/>
          <w:szCs w:val="32"/>
        </w:rPr>
        <w:t>规范</w:t>
      </w:r>
      <w:r>
        <w:rPr>
          <w:rFonts w:eastAsia="方正仿宋_GBK"/>
          <w:sz w:val="32"/>
          <w:szCs w:val="32"/>
          <w:lang w:val="zh-CN"/>
        </w:rPr>
        <w:t>信息披露工作，维护市场</w:t>
      </w:r>
      <w:r>
        <w:rPr>
          <w:rFonts w:hint="eastAsia" w:eastAsia="方正仿宋_GBK"/>
          <w:sz w:val="32"/>
          <w:szCs w:val="32"/>
          <w:lang w:val="zh-CN"/>
        </w:rPr>
        <w:t>经营</w:t>
      </w:r>
      <w:r>
        <w:rPr>
          <w:rFonts w:eastAsia="方正仿宋_GBK"/>
          <w:sz w:val="32"/>
          <w:szCs w:val="32"/>
          <w:lang w:val="zh-CN"/>
        </w:rPr>
        <w:t>主体合法权益，依据《电力监管条例》</w:t>
      </w:r>
      <w:r>
        <w:rPr>
          <w:rFonts w:hint="eastAsia" w:eastAsia="方正仿宋_GBK"/>
          <w:sz w:val="32"/>
          <w:szCs w:val="32"/>
          <w:lang w:val="zh-CN"/>
        </w:rPr>
        <w:t>《国家发展改革委 国家能源局关于加快建设全国统一电力市场体系的指导意见》</w:t>
      </w:r>
      <w:r>
        <w:rPr>
          <w:rFonts w:eastAsia="方正仿宋_GBK"/>
          <w:sz w:val="32"/>
          <w:szCs w:val="32"/>
        </w:rPr>
        <w:t>等有关规定</w:t>
      </w:r>
      <w:r>
        <w:rPr>
          <w:rFonts w:hint="eastAsia" w:eastAsia="方正仿宋_GBK"/>
          <w:color w:val="auto"/>
          <w:sz w:val="32"/>
          <w:szCs w:val="32"/>
          <w:lang w:eastAsia="zh-CN"/>
        </w:rPr>
        <w:t>，</w:t>
      </w:r>
      <w:r>
        <w:rPr>
          <w:rFonts w:eastAsia="方正仿宋_GBK"/>
          <w:sz w:val="32"/>
          <w:szCs w:val="32"/>
          <w:lang w:val="zh-CN"/>
        </w:rPr>
        <w:t>结合电力市场</w:t>
      </w:r>
      <w:r>
        <w:rPr>
          <w:rFonts w:eastAsia="方正仿宋_GBK"/>
          <w:sz w:val="32"/>
          <w:szCs w:val="32"/>
        </w:rPr>
        <w:t>实践</w:t>
      </w:r>
      <w:r>
        <w:rPr>
          <w:rFonts w:eastAsia="方正仿宋_GBK"/>
          <w:sz w:val="32"/>
          <w:szCs w:val="32"/>
          <w:lang w:val="zh-CN"/>
        </w:rPr>
        <w:t>，制定本</w:t>
      </w:r>
      <w:r>
        <w:rPr>
          <w:rFonts w:hint="eastAsia" w:eastAsia="方正仿宋_GBK"/>
          <w:sz w:val="32"/>
          <w:szCs w:val="32"/>
          <w:lang w:val="zh-CN"/>
        </w:rPr>
        <w:t>规则</w:t>
      </w:r>
      <w:r>
        <w:rPr>
          <w:rFonts w:eastAsia="方正仿宋_GBK"/>
          <w:sz w:val="32"/>
          <w:szCs w:val="32"/>
          <w:lang w:val="zh-CN"/>
        </w:rPr>
        <w:t>。</w:t>
      </w:r>
      <w:bookmarkEnd w:id="1"/>
    </w:p>
    <w:p>
      <w:pPr>
        <w:pStyle w:val="16"/>
        <w:numPr>
          <w:ilvl w:val="0"/>
          <w:numId w:val="2"/>
        </w:numPr>
        <w:spacing w:line="560" w:lineRule="exact"/>
        <w:ind w:firstLine="640" w:firstLineChars="200"/>
        <w:jc w:val="both"/>
        <w:textAlignment w:val="auto"/>
        <w:rPr>
          <w:rFonts w:eastAsia="方正仿宋_GBK"/>
          <w:sz w:val="32"/>
          <w:szCs w:val="32"/>
        </w:rPr>
      </w:pPr>
      <w:r>
        <w:rPr>
          <w:rFonts w:eastAsia="方正仿宋_GBK"/>
          <w:sz w:val="32"/>
          <w:szCs w:val="32"/>
        </w:rPr>
        <w:t>本</w:t>
      </w:r>
      <w:r>
        <w:rPr>
          <w:rFonts w:hint="eastAsia" w:eastAsia="方正仿宋_GBK"/>
          <w:sz w:val="32"/>
          <w:szCs w:val="32"/>
          <w:lang w:val="zh-CN"/>
        </w:rPr>
        <w:t>规则</w:t>
      </w:r>
      <w:r>
        <w:rPr>
          <w:rFonts w:eastAsia="方正仿宋_GBK"/>
          <w:sz w:val="32"/>
          <w:szCs w:val="32"/>
        </w:rPr>
        <w:t>所称电力市场包含</w:t>
      </w:r>
      <w:r>
        <w:rPr>
          <w:rFonts w:hint="eastAsia" w:eastAsia="方正仿宋_GBK"/>
          <w:sz w:val="32"/>
          <w:szCs w:val="32"/>
          <w:lang w:eastAsia="zh-CN"/>
        </w:rPr>
        <w:t>电力</w:t>
      </w:r>
      <w:r>
        <w:rPr>
          <w:rFonts w:hint="eastAsia" w:eastAsia="方正仿宋_GBK"/>
          <w:sz w:val="32"/>
          <w:szCs w:val="32"/>
          <w:lang w:val="en-US" w:eastAsia="zh-CN"/>
        </w:rPr>
        <w:t>中长期</w:t>
      </w:r>
      <w:r>
        <w:rPr>
          <w:rFonts w:eastAsia="方正仿宋_GBK"/>
          <w:sz w:val="32"/>
          <w:szCs w:val="32"/>
        </w:rPr>
        <w:t>、</w:t>
      </w:r>
      <w:r>
        <w:rPr>
          <w:rFonts w:hint="eastAsia" w:eastAsia="方正仿宋_GBK"/>
          <w:sz w:val="32"/>
          <w:szCs w:val="32"/>
          <w:lang w:val="en-US" w:eastAsia="zh-CN"/>
        </w:rPr>
        <w:t>现货、</w:t>
      </w:r>
      <w:r>
        <w:rPr>
          <w:rFonts w:eastAsia="方正仿宋_GBK"/>
          <w:sz w:val="32"/>
          <w:szCs w:val="32"/>
        </w:rPr>
        <w:t>辅助服务市场等。</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本</w:t>
      </w:r>
      <w:r>
        <w:rPr>
          <w:rFonts w:hint="eastAsia" w:eastAsia="方正仿宋_GBK"/>
          <w:sz w:val="32"/>
          <w:szCs w:val="32"/>
          <w:highlight w:val="none"/>
          <w:lang w:val="zh-CN"/>
        </w:rPr>
        <w:t>规则</w:t>
      </w:r>
      <w:r>
        <w:rPr>
          <w:rFonts w:eastAsia="方正仿宋_GBK"/>
          <w:sz w:val="32"/>
          <w:szCs w:val="32"/>
          <w:highlight w:val="none"/>
        </w:rPr>
        <w:t>所称</w:t>
      </w:r>
      <w:r>
        <w:rPr>
          <w:rFonts w:hint="eastAsia" w:eastAsia="方正仿宋_GBK"/>
          <w:sz w:val="32"/>
          <w:szCs w:val="32"/>
          <w:highlight w:val="none"/>
        </w:rPr>
        <w:t>信息披露</w:t>
      </w:r>
      <w:r>
        <w:rPr>
          <w:rFonts w:eastAsia="方正仿宋_GBK"/>
          <w:sz w:val="32"/>
          <w:szCs w:val="32"/>
          <w:highlight w:val="none"/>
        </w:rPr>
        <w:t>主体包括发</w:t>
      </w:r>
      <w:r>
        <w:rPr>
          <w:rFonts w:eastAsia="方正仿宋_GBK"/>
          <w:strike w:val="0"/>
          <w:sz w:val="32"/>
          <w:szCs w:val="32"/>
          <w:highlight w:val="none"/>
        </w:rPr>
        <w:t>电企业</w:t>
      </w:r>
      <w:r>
        <w:rPr>
          <w:rFonts w:eastAsia="方正仿宋_GBK"/>
          <w:sz w:val="32"/>
          <w:szCs w:val="32"/>
          <w:highlight w:val="none"/>
        </w:rPr>
        <w:t>、售电公司、电力用户、新型</w:t>
      </w:r>
      <w:r>
        <w:rPr>
          <w:rFonts w:hint="eastAsia" w:eastAsia="方正仿宋_GBK"/>
          <w:sz w:val="32"/>
          <w:szCs w:val="32"/>
          <w:highlight w:val="none"/>
          <w:lang w:eastAsia="zh-CN"/>
        </w:rPr>
        <w:t>经营</w:t>
      </w:r>
      <w:r>
        <w:rPr>
          <w:rFonts w:eastAsia="方正仿宋_GBK"/>
          <w:sz w:val="32"/>
          <w:szCs w:val="32"/>
          <w:highlight w:val="none"/>
        </w:rPr>
        <w:t>主体（</w:t>
      </w:r>
      <w:r>
        <w:rPr>
          <w:rFonts w:hint="eastAsia" w:eastAsia="方正仿宋_GBK"/>
          <w:sz w:val="32"/>
          <w:szCs w:val="32"/>
          <w:highlight w:val="none"/>
          <w:lang w:val="en-US" w:eastAsia="zh-CN"/>
        </w:rPr>
        <w:t>独立</w:t>
      </w:r>
      <w:r>
        <w:rPr>
          <w:rFonts w:eastAsia="方正仿宋_GBK"/>
          <w:sz w:val="32"/>
          <w:szCs w:val="32"/>
          <w:highlight w:val="none"/>
        </w:rPr>
        <w:t>储能等）、电网企业和市场运营机构。市场运营机构包括电力交易机构和电力调度机构。</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本</w:t>
      </w:r>
      <w:r>
        <w:rPr>
          <w:rFonts w:hint="eastAsia" w:eastAsia="方正仿宋_GBK"/>
          <w:sz w:val="32"/>
          <w:szCs w:val="32"/>
          <w:highlight w:val="none"/>
        </w:rPr>
        <w:t>规则</w:t>
      </w:r>
      <w:r>
        <w:rPr>
          <w:rFonts w:eastAsia="方正仿宋_GBK"/>
          <w:sz w:val="32"/>
          <w:szCs w:val="32"/>
          <w:highlight w:val="none"/>
        </w:rPr>
        <w:t>所称信息披露是指</w:t>
      </w:r>
      <w:r>
        <w:rPr>
          <w:rFonts w:hint="eastAsia" w:eastAsia="方正仿宋_GBK"/>
          <w:sz w:val="32"/>
          <w:szCs w:val="32"/>
          <w:highlight w:val="none"/>
        </w:rPr>
        <w:t>信息披露</w:t>
      </w:r>
      <w:r>
        <w:rPr>
          <w:rFonts w:eastAsia="方正仿宋_GBK"/>
          <w:sz w:val="32"/>
          <w:szCs w:val="32"/>
          <w:highlight w:val="none"/>
        </w:rPr>
        <w:t>主体提供、发布与电力市场相关信息的行为。</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各地区根据电力市场运营</w:t>
      </w:r>
      <w:r>
        <w:rPr>
          <w:rFonts w:hint="eastAsia" w:eastAsia="方正仿宋_GBK"/>
          <w:sz w:val="32"/>
          <w:szCs w:val="32"/>
          <w:highlight w:val="none"/>
          <w:lang w:val="en-US" w:eastAsia="zh-CN"/>
        </w:rPr>
        <w:t>情况</w:t>
      </w:r>
      <w:r>
        <w:rPr>
          <w:rFonts w:hint="eastAsia" w:eastAsia="方正仿宋_GBK"/>
          <w:sz w:val="32"/>
          <w:szCs w:val="32"/>
          <w:highlight w:val="none"/>
        </w:rPr>
        <w:t>，</w:t>
      </w:r>
      <w:r>
        <w:rPr>
          <w:rFonts w:hint="eastAsia" w:eastAsia="方正仿宋_GBK"/>
          <w:sz w:val="32"/>
          <w:szCs w:val="32"/>
          <w:highlight w:val="none"/>
          <w:lang w:val="en-US" w:eastAsia="zh-CN"/>
        </w:rPr>
        <w:t>若存在</w:t>
      </w:r>
      <w:r>
        <w:rPr>
          <w:rFonts w:hint="eastAsia" w:eastAsia="方正仿宋_GBK"/>
          <w:sz w:val="32"/>
          <w:szCs w:val="32"/>
          <w:highlight w:val="none"/>
        </w:rPr>
        <w:t>无法满足本规则要求的</w:t>
      </w:r>
      <w:r>
        <w:rPr>
          <w:rFonts w:hint="eastAsia" w:eastAsia="方正仿宋_GBK"/>
          <w:sz w:val="32"/>
          <w:szCs w:val="32"/>
          <w:highlight w:val="none"/>
          <w:lang w:val="en-US" w:eastAsia="zh-CN"/>
        </w:rPr>
        <w:t>信息披露内容</w:t>
      </w:r>
      <w:r>
        <w:rPr>
          <w:rFonts w:hint="eastAsia" w:eastAsia="方正仿宋_GBK"/>
          <w:sz w:val="32"/>
          <w:szCs w:val="32"/>
          <w:highlight w:val="none"/>
        </w:rPr>
        <w:t>，有关信息披露主体应向国家能源局或其派出机构书面报备。</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0"/>
        <w:textAlignment w:val="auto"/>
        <w:outlineLvl w:val="9"/>
        <w:rPr>
          <w:rFonts w:ascii="方正黑体_GBK" w:hAnsi="方正黑体_GBK" w:eastAsia="方正黑体_GBK"/>
          <w:sz w:val="32"/>
          <w:szCs w:val="32"/>
        </w:rPr>
      </w:pPr>
    </w:p>
    <w:p>
      <w:pPr>
        <w:pStyle w:val="15"/>
        <w:spacing w:before="0" w:beforeLines="0" w:after="0" w:afterLines="0" w:line="560" w:lineRule="exact"/>
        <w:ind w:left="0" w:firstLine="0"/>
        <w:textAlignment w:val="auto"/>
        <w:rPr>
          <w:rFonts w:ascii="方正黑体_GBK" w:hAnsi="方正黑体_GBK" w:eastAsia="方正黑体_GBK"/>
          <w:sz w:val="32"/>
          <w:szCs w:val="32"/>
        </w:rPr>
      </w:pPr>
      <w:r>
        <w:rPr>
          <w:rFonts w:ascii="方正黑体_GBK" w:hAnsi="方正黑体_GBK" w:eastAsia="方正黑体_GBK"/>
          <w:sz w:val="32"/>
          <w:szCs w:val="32"/>
        </w:rPr>
        <w:t>第二章 信息披露</w:t>
      </w:r>
      <w:bookmarkEnd w:id="2"/>
      <w:r>
        <w:rPr>
          <w:rFonts w:ascii="方正黑体_GBK" w:hAnsi="方正黑体_GBK" w:eastAsia="方正黑体_GBK"/>
          <w:sz w:val="32"/>
          <w:szCs w:val="32"/>
        </w:rPr>
        <w:t>原则和方式</w:t>
      </w:r>
    </w:p>
    <w:p>
      <w:pPr>
        <w:pStyle w:val="16"/>
        <w:numPr>
          <w:ilvl w:val="0"/>
          <w:numId w:val="2"/>
        </w:numPr>
        <w:spacing w:line="560" w:lineRule="exact"/>
        <w:ind w:firstLine="640" w:firstLineChars="200"/>
        <w:jc w:val="both"/>
        <w:textAlignment w:val="auto"/>
        <w:rPr>
          <w:rFonts w:eastAsia="方正仿宋_GBK"/>
          <w:sz w:val="32"/>
          <w:szCs w:val="32"/>
        </w:rPr>
      </w:pPr>
      <w:r>
        <w:rPr>
          <w:rFonts w:eastAsia="方正仿宋_GBK"/>
          <w:sz w:val="32"/>
          <w:szCs w:val="32"/>
        </w:rPr>
        <w:t>信息披露应当遵循</w:t>
      </w:r>
      <w:r>
        <w:rPr>
          <w:rFonts w:hint="eastAsia" w:eastAsia="方正仿宋_GBK"/>
          <w:sz w:val="32"/>
          <w:szCs w:val="32"/>
          <w:lang w:val="en-US" w:eastAsia="zh-CN"/>
        </w:rPr>
        <w:t>安全、</w:t>
      </w:r>
      <w:r>
        <w:rPr>
          <w:rFonts w:eastAsia="方正仿宋_GBK"/>
          <w:sz w:val="32"/>
          <w:szCs w:val="32"/>
        </w:rPr>
        <w:t>真实、准确、完整、及时、易于使用的原则。</w:t>
      </w:r>
    </w:p>
    <w:p>
      <w:pPr>
        <w:pStyle w:val="16"/>
        <w:numPr>
          <w:ilvl w:val="0"/>
          <w:numId w:val="2"/>
        </w:numPr>
        <w:spacing w:line="560" w:lineRule="exact"/>
        <w:ind w:firstLine="640" w:firstLineChars="200"/>
        <w:jc w:val="both"/>
        <w:textAlignment w:val="auto"/>
        <w:rPr>
          <w:rFonts w:eastAsia="方正仿宋_GBK"/>
          <w:sz w:val="32"/>
          <w:szCs w:val="32"/>
        </w:rPr>
      </w:pPr>
      <w:r>
        <w:rPr>
          <w:rFonts w:hint="eastAsia" w:eastAsia="方正仿宋_GBK"/>
          <w:sz w:val="32"/>
          <w:szCs w:val="32"/>
          <w:highlight w:val="none"/>
        </w:rPr>
        <w:t>信息披露</w:t>
      </w:r>
      <w:r>
        <w:rPr>
          <w:rFonts w:eastAsia="方正仿宋_GBK"/>
          <w:sz w:val="32"/>
          <w:szCs w:val="32"/>
          <w:highlight w:val="none"/>
        </w:rPr>
        <w:t>主体</w:t>
      </w:r>
      <w:r>
        <w:rPr>
          <w:rFonts w:hint="eastAsia" w:eastAsia="方正仿宋_GBK"/>
          <w:sz w:val="32"/>
          <w:szCs w:val="32"/>
          <w:highlight w:val="none"/>
          <w:lang w:val="en-US" w:eastAsia="zh-CN"/>
        </w:rPr>
        <w:t>应严格按照本规则要求披露信息，并</w:t>
      </w:r>
      <w:r>
        <w:rPr>
          <w:rFonts w:eastAsia="方正仿宋_GBK"/>
          <w:sz w:val="32"/>
          <w:szCs w:val="32"/>
        </w:rPr>
        <w:t>对其</w:t>
      </w:r>
      <w:r>
        <w:rPr>
          <w:rFonts w:hint="eastAsia" w:eastAsia="方正仿宋_GBK"/>
          <w:sz w:val="32"/>
          <w:szCs w:val="32"/>
        </w:rPr>
        <w:t>披露</w:t>
      </w:r>
      <w:r>
        <w:rPr>
          <w:rFonts w:eastAsia="方正仿宋_GBK"/>
          <w:sz w:val="32"/>
          <w:szCs w:val="32"/>
        </w:rPr>
        <w:t>信息的真实性、准确性、完整性、及时性负责。</w:t>
      </w:r>
    </w:p>
    <w:p>
      <w:pPr>
        <w:pStyle w:val="16"/>
        <w:numPr>
          <w:ilvl w:val="0"/>
          <w:numId w:val="2"/>
        </w:numPr>
        <w:spacing w:line="560" w:lineRule="exact"/>
        <w:ind w:firstLine="640" w:firstLineChars="200"/>
        <w:jc w:val="both"/>
        <w:textAlignment w:val="auto"/>
        <w:rPr>
          <w:rFonts w:eastAsia="方正仿宋_GBK"/>
          <w:sz w:val="32"/>
          <w:szCs w:val="32"/>
        </w:rPr>
      </w:pPr>
      <w:r>
        <w:rPr>
          <w:rFonts w:eastAsia="方正仿宋_GBK"/>
          <w:sz w:val="32"/>
          <w:szCs w:val="32"/>
        </w:rPr>
        <w:t>电力交易机构负责电力市场信息披露的实施，以电力交易</w:t>
      </w:r>
      <w:r>
        <w:rPr>
          <w:rFonts w:hint="eastAsia" w:eastAsia="方正仿宋_GBK"/>
          <w:sz w:val="32"/>
          <w:szCs w:val="32"/>
        </w:rPr>
        <w:t>平台为基础设立</w:t>
      </w:r>
      <w:r>
        <w:rPr>
          <w:rFonts w:eastAsia="方正仿宋_GBK"/>
          <w:sz w:val="32"/>
          <w:szCs w:val="32"/>
        </w:rPr>
        <w:t>信息</w:t>
      </w:r>
      <w:r>
        <w:rPr>
          <w:rFonts w:hint="eastAsia" w:eastAsia="方正仿宋_GBK"/>
          <w:sz w:val="32"/>
          <w:szCs w:val="32"/>
        </w:rPr>
        <w:t>披露</w:t>
      </w:r>
      <w:r>
        <w:rPr>
          <w:rFonts w:eastAsia="方正仿宋_GBK"/>
          <w:sz w:val="32"/>
          <w:szCs w:val="32"/>
        </w:rPr>
        <w:t>平台</w:t>
      </w:r>
      <w:r>
        <w:rPr>
          <w:rFonts w:hint="eastAsia" w:eastAsia="方正仿宋_GBK"/>
          <w:sz w:val="32"/>
          <w:szCs w:val="32"/>
        </w:rPr>
        <w:t>，</w:t>
      </w:r>
      <w:r>
        <w:rPr>
          <w:rFonts w:hint="eastAsia" w:eastAsia="方正仿宋_GBK"/>
          <w:sz w:val="32"/>
          <w:szCs w:val="32"/>
          <w:highlight w:val="none"/>
          <w:lang w:val="en-US" w:eastAsia="zh-CN"/>
        </w:rPr>
        <w:t>做好</w:t>
      </w:r>
      <w:r>
        <w:rPr>
          <w:rFonts w:hint="eastAsia" w:eastAsia="方正仿宋_GBK"/>
          <w:sz w:val="32"/>
          <w:szCs w:val="32"/>
          <w:highlight w:val="none"/>
        </w:rPr>
        <w:t>国家能源局及其派出机构</w:t>
      </w:r>
      <w:r>
        <w:rPr>
          <w:rFonts w:hint="eastAsia" w:eastAsia="方正仿宋_GBK"/>
          <w:sz w:val="32"/>
          <w:szCs w:val="32"/>
          <w:highlight w:val="none"/>
          <w:lang w:eastAsia="zh-CN"/>
        </w:rPr>
        <w:t>、</w:t>
      </w:r>
      <w:r>
        <w:rPr>
          <w:rFonts w:hint="eastAsia" w:eastAsia="方正仿宋_GBK"/>
          <w:sz w:val="32"/>
          <w:szCs w:val="32"/>
          <w:highlight w:val="none"/>
          <w:lang w:val="en-US" w:eastAsia="zh-CN"/>
        </w:rPr>
        <w:t>市场经营主体</w:t>
      </w:r>
      <w:r>
        <w:rPr>
          <w:rFonts w:hint="eastAsia" w:eastAsia="方正仿宋_GBK"/>
          <w:sz w:val="32"/>
          <w:szCs w:val="32"/>
          <w:highlight w:val="none"/>
        </w:rPr>
        <w:t>信息披露平台</w:t>
      </w:r>
      <w:r>
        <w:rPr>
          <w:rFonts w:hint="eastAsia" w:eastAsia="方正仿宋_GBK"/>
          <w:sz w:val="32"/>
          <w:szCs w:val="32"/>
          <w:highlight w:val="none"/>
          <w:lang w:val="en-US" w:eastAsia="zh-CN"/>
        </w:rPr>
        <w:t>登录账号运维管理工作。</w:t>
      </w:r>
      <w:r>
        <w:rPr>
          <w:rFonts w:eastAsia="方正仿宋_GBK"/>
          <w:sz w:val="32"/>
          <w:szCs w:val="32"/>
        </w:rPr>
        <w:t>电力交易机构制定</w:t>
      </w:r>
      <w:r>
        <w:rPr>
          <w:rFonts w:hint="eastAsia" w:eastAsia="方正仿宋_GBK"/>
          <w:sz w:val="32"/>
          <w:szCs w:val="32"/>
          <w:lang w:eastAsia="zh-CN"/>
        </w:rPr>
        <w:t>全国统一的</w:t>
      </w:r>
      <w:r>
        <w:rPr>
          <w:rFonts w:eastAsia="方正仿宋_GBK"/>
          <w:sz w:val="32"/>
          <w:szCs w:val="32"/>
        </w:rPr>
        <w:t>信息披露标准</w:t>
      </w:r>
      <w:r>
        <w:rPr>
          <w:rFonts w:hint="eastAsia" w:eastAsia="方正仿宋_GBK"/>
          <w:sz w:val="32"/>
          <w:szCs w:val="32"/>
          <w:lang w:val="en-US" w:eastAsia="zh-CN"/>
        </w:rPr>
        <w:t>数据</w:t>
      </w:r>
      <w:r>
        <w:rPr>
          <w:rFonts w:eastAsia="方正仿宋_GBK"/>
          <w:sz w:val="32"/>
          <w:szCs w:val="32"/>
        </w:rPr>
        <w:t>格式</w:t>
      </w:r>
      <w:r>
        <w:rPr>
          <w:rFonts w:hint="eastAsia" w:eastAsia="方正仿宋_GBK"/>
          <w:sz w:val="32"/>
          <w:szCs w:val="32"/>
        </w:rPr>
        <w:t>，在保障信息安全的前提下提供</w:t>
      </w:r>
      <w:r>
        <w:rPr>
          <w:rFonts w:eastAsia="方正仿宋_GBK"/>
          <w:sz w:val="32"/>
          <w:szCs w:val="32"/>
        </w:rPr>
        <w:t>数据接口</w:t>
      </w:r>
      <w:r>
        <w:rPr>
          <w:rFonts w:hint="eastAsia" w:eastAsia="方正仿宋_GBK"/>
          <w:sz w:val="32"/>
          <w:szCs w:val="32"/>
        </w:rPr>
        <w:t>服务</w:t>
      </w:r>
      <w:r>
        <w:rPr>
          <w:rFonts w:eastAsia="方正仿宋_GBK"/>
          <w:sz w:val="32"/>
          <w:szCs w:val="32"/>
        </w:rPr>
        <w:t>。</w:t>
      </w:r>
      <w:r>
        <w:rPr>
          <w:rFonts w:hint="eastAsia" w:eastAsia="方正仿宋_GBK"/>
          <w:sz w:val="32"/>
          <w:szCs w:val="32"/>
          <w:lang w:eastAsia="zh-CN"/>
        </w:rPr>
        <w:t>相关</w:t>
      </w:r>
      <w:r>
        <w:rPr>
          <w:rFonts w:hint="eastAsia" w:eastAsia="方正仿宋_GBK"/>
          <w:sz w:val="32"/>
          <w:szCs w:val="32"/>
        </w:rPr>
        <w:t>数据接口标准</w:t>
      </w:r>
      <w:r>
        <w:rPr>
          <w:rFonts w:hint="eastAsia" w:eastAsia="方正仿宋_GBK"/>
          <w:sz w:val="32"/>
          <w:szCs w:val="32"/>
          <w:lang w:eastAsia="zh-CN"/>
        </w:rPr>
        <w:t>另行制定。</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信息披露</w:t>
      </w:r>
      <w:r>
        <w:rPr>
          <w:rFonts w:eastAsia="方正仿宋_GBK"/>
          <w:sz w:val="32"/>
          <w:szCs w:val="32"/>
          <w:highlight w:val="none"/>
        </w:rPr>
        <w:t>主体按照标准</w:t>
      </w:r>
      <w:r>
        <w:rPr>
          <w:rFonts w:hint="eastAsia" w:eastAsia="方正仿宋_GBK"/>
          <w:sz w:val="32"/>
          <w:szCs w:val="32"/>
          <w:highlight w:val="none"/>
          <w:lang w:val="en-US" w:eastAsia="zh-CN"/>
        </w:rPr>
        <w:t>数据</w:t>
      </w:r>
      <w:r>
        <w:rPr>
          <w:rFonts w:eastAsia="方正仿宋_GBK"/>
          <w:sz w:val="32"/>
          <w:szCs w:val="32"/>
          <w:highlight w:val="none"/>
        </w:rPr>
        <w:t>格式</w:t>
      </w:r>
      <w:r>
        <w:rPr>
          <w:rFonts w:hint="eastAsia" w:eastAsia="方正仿宋_GBK"/>
          <w:sz w:val="32"/>
          <w:szCs w:val="32"/>
          <w:highlight w:val="none"/>
        </w:rPr>
        <w:t>在</w:t>
      </w:r>
      <w:r>
        <w:rPr>
          <w:rFonts w:eastAsia="方正仿宋_GBK"/>
          <w:sz w:val="32"/>
          <w:szCs w:val="32"/>
          <w:highlight w:val="none"/>
        </w:rPr>
        <w:t>信息披露平台</w:t>
      </w:r>
      <w:r>
        <w:rPr>
          <w:rFonts w:hint="eastAsia" w:eastAsia="方正仿宋_GBK"/>
          <w:sz w:val="32"/>
          <w:szCs w:val="32"/>
          <w:highlight w:val="none"/>
        </w:rPr>
        <w:t>披露</w:t>
      </w:r>
      <w:r>
        <w:rPr>
          <w:rFonts w:eastAsia="方正仿宋_GBK"/>
          <w:sz w:val="32"/>
          <w:szCs w:val="32"/>
          <w:highlight w:val="none"/>
        </w:rPr>
        <w:t>信息</w:t>
      </w:r>
      <w:r>
        <w:rPr>
          <w:rFonts w:hint="eastAsia" w:eastAsia="方正仿宋_GBK"/>
          <w:sz w:val="32"/>
          <w:szCs w:val="32"/>
          <w:highlight w:val="none"/>
          <w:lang w:eastAsia="zh-CN"/>
        </w:rPr>
        <w:t>，</w:t>
      </w:r>
      <w:r>
        <w:rPr>
          <w:rFonts w:hint="eastAsia" w:eastAsia="方正仿宋_GBK"/>
          <w:szCs w:val="32"/>
          <w:highlight w:val="none"/>
        </w:rPr>
        <w:t>披露</w:t>
      </w:r>
      <w:r>
        <w:rPr>
          <w:rFonts w:hint="eastAsia" w:eastAsia="方正仿宋_GBK"/>
          <w:szCs w:val="32"/>
          <w:highlight w:val="none"/>
          <w:lang w:val="en-US" w:eastAsia="zh-CN"/>
        </w:rPr>
        <w:t>的</w:t>
      </w:r>
      <w:r>
        <w:rPr>
          <w:rFonts w:hint="eastAsia" w:eastAsia="方正仿宋_GBK"/>
          <w:szCs w:val="32"/>
          <w:highlight w:val="none"/>
        </w:rPr>
        <w:t>信息保留或可供查询的时间不少于2年</w:t>
      </w:r>
      <w:r>
        <w:rPr>
          <w:rFonts w:eastAsia="方正仿宋_GBK"/>
          <w:sz w:val="32"/>
          <w:szCs w:val="32"/>
          <w:highlight w:val="none"/>
        </w:rPr>
        <w:t>。</w:t>
      </w:r>
      <w:r>
        <w:rPr>
          <w:rFonts w:hint="eastAsia" w:eastAsia="方正仿宋_GBK"/>
          <w:sz w:val="32"/>
          <w:szCs w:val="32"/>
          <w:highlight w:val="none"/>
          <w:lang w:val="en-US" w:eastAsia="zh-CN"/>
        </w:rPr>
        <w:t>信息披露应以结构化数据为主，非结构化信息采用PDF等文件格式。</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电力市场信息应在信息披露平台上进行披露，在确保信息安全基础上，按信息公开范围要求，可同时通过信息发布会、交易机构官方公众号等渠道发布。</w:t>
      </w:r>
      <w:r>
        <w:rPr>
          <w:rFonts w:eastAsia="方正仿宋_GBK"/>
          <w:sz w:val="32"/>
          <w:szCs w:val="32"/>
          <w:highlight w:val="none"/>
        </w:rPr>
        <w:t xml:space="preserve"> </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电力市场信息按照年、</w:t>
      </w:r>
      <w:r>
        <w:rPr>
          <w:rFonts w:hint="eastAsia" w:eastAsia="方正仿宋_GBK"/>
          <w:sz w:val="32"/>
          <w:szCs w:val="32"/>
          <w:highlight w:val="none"/>
          <w:lang w:val="en-US" w:eastAsia="zh-CN"/>
        </w:rPr>
        <w:t>季、</w:t>
      </w:r>
      <w:r>
        <w:rPr>
          <w:rFonts w:hint="eastAsia" w:eastAsia="方正仿宋_GBK"/>
          <w:sz w:val="32"/>
          <w:szCs w:val="32"/>
          <w:highlight w:val="none"/>
        </w:rPr>
        <w:t>月、周、日等周期开展披露</w:t>
      </w:r>
      <w:r>
        <w:rPr>
          <w:rFonts w:hint="eastAsia" w:eastAsia="方正仿宋_GBK"/>
          <w:sz w:val="32"/>
          <w:szCs w:val="32"/>
          <w:highlight w:val="none"/>
          <w:lang w:eastAsia="zh-CN"/>
        </w:rPr>
        <w:t>。</w:t>
      </w:r>
      <w:r>
        <w:rPr>
          <w:rFonts w:hint="eastAsia" w:eastAsia="方正仿宋_GBK"/>
          <w:sz w:val="32"/>
          <w:szCs w:val="32"/>
          <w:highlight w:val="none"/>
          <w:lang w:val="en-US" w:eastAsia="zh-CN"/>
        </w:rPr>
        <w:t>预测类信息在交易申报开始前披露，运行类信息在运行日次日披露。现货未开展的地区或时期，可根据市场运行需要</w:t>
      </w:r>
      <w:r>
        <w:rPr>
          <w:rFonts w:hint="eastAsia" w:eastAsia="方正仿宋_GBK"/>
          <w:sz w:val="32"/>
          <w:szCs w:val="32"/>
          <w:highlight w:val="none"/>
        </w:rPr>
        <w:t>披露周、日信息</w:t>
      </w:r>
      <w:r>
        <w:rPr>
          <w:rFonts w:hint="eastAsia" w:eastAsia="方正仿宋_GBK"/>
          <w:sz w:val="32"/>
          <w:szCs w:val="32"/>
          <w:highlight w:val="none"/>
          <w:lang w:eastAsia="zh-CN"/>
        </w:rPr>
        <w:t>，现货市场不结算试运行期间暂不披露</w:t>
      </w:r>
      <w:r>
        <w:rPr>
          <w:rFonts w:hint="eastAsia" w:eastAsia="方正仿宋_GBK"/>
          <w:sz w:val="32"/>
          <w:szCs w:val="32"/>
          <w:highlight w:val="none"/>
          <w:lang w:val="en-US" w:eastAsia="zh-CN"/>
        </w:rPr>
        <w:t>现货市场</w:t>
      </w:r>
      <w:r>
        <w:rPr>
          <w:rFonts w:hint="eastAsia" w:eastAsia="方正仿宋_GBK"/>
          <w:sz w:val="32"/>
          <w:szCs w:val="32"/>
          <w:highlight w:val="none"/>
          <w:lang w:eastAsia="zh-CN"/>
        </w:rPr>
        <w:t>相关信息</w:t>
      </w:r>
      <w:r>
        <w:rPr>
          <w:rFonts w:hint="eastAsia" w:eastAsia="方正仿宋_GBK"/>
          <w:sz w:val="32"/>
          <w:szCs w:val="32"/>
          <w:highlight w:val="none"/>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eastAsia="zh-CN"/>
        </w:rPr>
        <w:t>涉及多省业务的信息披露主体应以法人为主体披露其全量</w:t>
      </w:r>
      <w:r>
        <w:rPr>
          <w:rFonts w:hint="eastAsia" w:eastAsia="方正仿宋_GBK"/>
          <w:sz w:val="32"/>
          <w:szCs w:val="32"/>
          <w:highlight w:val="none"/>
          <w:lang w:val="en-US" w:eastAsia="zh-CN"/>
        </w:rPr>
        <w:t>及分省</w:t>
      </w:r>
      <w:r>
        <w:rPr>
          <w:rFonts w:hint="eastAsia" w:eastAsia="方正仿宋_GBK"/>
          <w:sz w:val="32"/>
          <w:szCs w:val="32"/>
          <w:highlight w:val="none"/>
          <w:lang w:eastAsia="zh-CN"/>
        </w:rPr>
        <w:t>信息。</w:t>
      </w:r>
    </w:p>
    <w:p>
      <w:pPr>
        <w:pStyle w:val="16"/>
        <w:numPr>
          <w:ilvl w:val="0"/>
          <w:numId w:val="2"/>
        </w:numPr>
        <w:spacing w:line="560" w:lineRule="exact"/>
        <w:ind w:firstLine="640" w:firstLineChars="200"/>
        <w:jc w:val="both"/>
        <w:textAlignment w:val="auto"/>
        <w:rPr>
          <w:rFonts w:ascii="方正黑体_GBK" w:hAnsi="方正黑体_GBK" w:eastAsia="方正黑体_GBK"/>
          <w:sz w:val="32"/>
          <w:szCs w:val="32"/>
          <w:highlight w:val="none"/>
        </w:rPr>
      </w:pPr>
      <w:r>
        <w:rPr>
          <w:rFonts w:hint="eastAsia" w:eastAsia="方正仿宋_GBK"/>
          <w:sz w:val="32"/>
          <w:szCs w:val="32"/>
          <w:highlight w:val="none"/>
          <w:lang w:eastAsia="zh-CN"/>
        </w:rPr>
        <w:t>市场经营主体</w:t>
      </w:r>
      <w:r>
        <w:rPr>
          <w:rFonts w:hint="eastAsia" w:eastAsia="方正仿宋_GBK"/>
          <w:sz w:val="32"/>
          <w:szCs w:val="32"/>
          <w:highlight w:val="none"/>
        </w:rPr>
        <w:t>对披露的信息内容、时限等有异议或者疑问，可向电力交易机构提出，电力交易机构</w:t>
      </w:r>
      <w:r>
        <w:rPr>
          <w:rFonts w:hint="eastAsia" w:eastAsia="方正仿宋_GBK"/>
          <w:sz w:val="32"/>
          <w:szCs w:val="32"/>
          <w:highlight w:val="none"/>
          <w:lang w:val="en-US" w:eastAsia="zh-CN"/>
        </w:rPr>
        <w:t>根据本规则规定要求</w:t>
      </w:r>
      <w:r>
        <w:rPr>
          <w:rFonts w:hint="eastAsia" w:eastAsia="方正仿宋_GBK"/>
          <w:sz w:val="32"/>
          <w:szCs w:val="32"/>
          <w:highlight w:val="none"/>
        </w:rPr>
        <w:t>相关信息披露</w:t>
      </w:r>
      <w:r>
        <w:rPr>
          <w:rFonts w:eastAsia="方正仿宋_GBK"/>
          <w:sz w:val="32"/>
          <w:szCs w:val="32"/>
          <w:highlight w:val="none"/>
        </w:rPr>
        <w:t>主体</w:t>
      </w:r>
      <w:r>
        <w:rPr>
          <w:rFonts w:hint="eastAsia" w:eastAsia="方正仿宋_GBK"/>
          <w:sz w:val="32"/>
          <w:szCs w:val="32"/>
          <w:highlight w:val="none"/>
        </w:rPr>
        <w:t>予以解释及配合。</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0"/>
        <w:textAlignment w:val="auto"/>
        <w:outlineLvl w:val="9"/>
        <w:rPr>
          <w:rFonts w:ascii="方正黑体_GBK" w:hAnsi="方正黑体_GBK" w:eastAsia="方正黑体_GBK"/>
          <w:sz w:val="32"/>
          <w:szCs w:val="32"/>
          <w:highlight w:val="none"/>
        </w:rPr>
      </w:pPr>
    </w:p>
    <w:p>
      <w:pPr>
        <w:pStyle w:val="15"/>
        <w:spacing w:before="0" w:beforeLines="0" w:after="0" w:afterLines="0" w:line="560" w:lineRule="exact"/>
        <w:ind w:left="0" w:firstLine="0"/>
        <w:textAlignment w:val="auto"/>
        <w:rPr>
          <w:rFonts w:ascii="方正黑体_GBK" w:hAnsi="方正黑体_GBK" w:eastAsia="方正黑体_GBK"/>
          <w:sz w:val="32"/>
          <w:szCs w:val="32"/>
          <w:highlight w:val="none"/>
        </w:rPr>
      </w:pPr>
      <w:r>
        <w:rPr>
          <w:rFonts w:ascii="方正黑体_GBK" w:hAnsi="方正黑体_GBK" w:eastAsia="方正黑体_GBK"/>
          <w:sz w:val="32"/>
          <w:szCs w:val="32"/>
          <w:highlight w:val="none"/>
        </w:rPr>
        <w:t>第三章 信息披露内容</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按照信息公开范围，电力市场信息分为公众信息、公开信息</w:t>
      </w:r>
      <w:r>
        <w:rPr>
          <w:rFonts w:hint="eastAsia" w:eastAsia="方正仿宋_GBK"/>
          <w:sz w:val="32"/>
          <w:szCs w:val="32"/>
          <w:highlight w:val="none"/>
        </w:rPr>
        <w:t>、</w:t>
      </w:r>
      <w:r>
        <w:rPr>
          <w:rFonts w:eastAsia="方正仿宋_GBK"/>
          <w:sz w:val="32"/>
          <w:szCs w:val="32"/>
          <w:highlight w:val="none"/>
        </w:rPr>
        <w:t>私有信息</w:t>
      </w:r>
      <w:r>
        <w:rPr>
          <w:rFonts w:hint="eastAsia" w:eastAsia="方正仿宋_GBK"/>
          <w:sz w:val="32"/>
          <w:szCs w:val="32"/>
          <w:highlight w:val="none"/>
          <w:lang w:val="en-US" w:eastAsia="zh-CN"/>
        </w:rPr>
        <w:t>三</w:t>
      </w:r>
      <w:r>
        <w:rPr>
          <w:rFonts w:eastAsia="方正仿宋_GBK"/>
          <w:sz w:val="32"/>
          <w:szCs w:val="32"/>
          <w:highlight w:val="none"/>
        </w:rPr>
        <w:t>类。</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（一）公众信息：是指向社会公众披露的信息。</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（二）公开信息：是指向</w:t>
      </w:r>
      <w:r>
        <w:rPr>
          <w:rFonts w:hint="eastAsia" w:eastAsia="方正仿宋_GBK"/>
          <w:sz w:val="32"/>
          <w:szCs w:val="32"/>
          <w:highlight w:val="none"/>
          <w:lang w:eastAsia="zh-CN"/>
        </w:rPr>
        <w:t>市场经营主体</w:t>
      </w:r>
      <w:r>
        <w:rPr>
          <w:rFonts w:eastAsia="方正仿宋_GBK"/>
          <w:sz w:val="32"/>
          <w:szCs w:val="32"/>
          <w:highlight w:val="none"/>
        </w:rPr>
        <w:t>披露的信息。</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（三）私有信息：是指</w:t>
      </w:r>
      <w:r>
        <w:rPr>
          <w:rFonts w:hint="eastAsia" w:eastAsia="方正仿宋_GBK"/>
          <w:sz w:val="32"/>
          <w:szCs w:val="32"/>
          <w:highlight w:val="none"/>
        </w:rPr>
        <w:t>根据电力市场运营需要</w:t>
      </w:r>
      <w:r>
        <w:rPr>
          <w:rFonts w:eastAsia="方正仿宋_GBK"/>
          <w:sz w:val="32"/>
          <w:szCs w:val="32"/>
          <w:highlight w:val="none"/>
        </w:rPr>
        <w:t>向特定</w:t>
      </w:r>
      <w:r>
        <w:rPr>
          <w:rFonts w:hint="eastAsia" w:eastAsia="方正仿宋_GBK"/>
          <w:sz w:val="32"/>
          <w:szCs w:val="32"/>
          <w:highlight w:val="none"/>
          <w:lang w:eastAsia="zh-CN"/>
        </w:rPr>
        <w:t>市场经营主体</w:t>
      </w:r>
      <w:r>
        <w:rPr>
          <w:rFonts w:eastAsia="方正仿宋_GBK"/>
          <w:sz w:val="32"/>
          <w:szCs w:val="32"/>
          <w:highlight w:val="none"/>
        </w:rPr>
        <w:t>披露的信息。</w:t>
      </w:r>
    </w:p>
    <w:p>
      <w:pPr>
        <w:pStyle w:val="17"/>
        <w:spacing w:before="0" w:beforeLines="0" w:line="560" w:lineRule="exact"/>
        <w:ind w:left="0" w:firstLine="0"/>
        <w:textAlignment w:val="auto"/>
        <w:rPr>
          <w:rFonts w:ascii="方正楷体_GBK" w:hAnsi="方正楷体_GBK"/>
          <w:sz w:val="32"/>
          <w:szCs w:val="32"/>
          <w:highlight w:val="none"/>
        </w:rPr>
      </w:pPr>
      <w:bookmarkStart w:id="3" w:name="_Toc22631711"/>
      <w:r>
        <w:rPr>
          <w:rFonts w:ascii="方正楷体_GBK" w:hAnsi="方正楷体_GBK"/>
          <w:sz w:val="32"/>
          <w:szCs w:val="32"/>
          <w:highlight w:val="none"/>
        </w:rPr>
        <w:t>第一节 发电企业</w:t>
      </w:r>
      <w:bookmarkEnd w:id="3"/>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发电企业应当披露的公众信息包括：</w:t>
      </w:r>
    </w:p>
    <w:p>
      <w:pPr>
        <w:pStyle w:val="18"/>
        <w:numPr>
          <w:ilvl w:val="0"/>
          <w:numId w:val="3"/>
        </w:numPr>
        <w:spacing w:line="560" w:lineRule="exact"/>
        <w:ind w:firstLine="600"/>
        <w:jc w:val="both"/>
        <w:textAlignment w:val="auto"/>
        <w:rPr>
          <w:rFonts w:eastAsia="方正仿宋_GBK"/>
          <w:sz w:val="32"/>
          <w:highlight w:val="none"/>
          <w:lang w:val="en-US"/>
        </w:rPr>
      </w:pPr>
      <w:r>
        <w:rPr>
          <w:rFonts w:eastAsia="方正仿宋_GBK"/>
          <w:sz w:val="32"/>
          <w:highlight w:val="none"/>
        </w:rPr>
        <w:t>企业全称、</w:t>
      </w:r>
      <w:r>
        <w:rPr>
          <w:rFonts w:hint="eastAsia" w:eastAsia="方正仿宋_GBK"/>
          <w:sz w:val="32"/>
          <w:highlight w:val="none"/>
          <w:lang w:val="en-US" w:eastAsia="zh-CN"/>
        </w:rPr>
        <w:t>企业性质、</w:t>
      </w:r>
      <w:r>
        <w:rPr>
          <w:rFonts w:eastAsia="方正仿宋_GBK"/>
          <w:sz w:val="32"/>
          <w:highlight w:val="none"/>
        </w:rPr>
        <w:t>所属集团、工商注册时间、统一社会信用代码、</w:t>
      </w:r>
      <w:r>
        <w:rPr>
          <w:rFonts w:hint="eastAsia" w:eastAsia="方正仿宋_GBK"/>
          <w:sz w:val="32"/>
          <w:highlight w:val="none"/>
          <w:lang w:val="en-US"/>
        </w:rPr>
        <w:t>股权结构、</w:t>
      </w:r>
      <w:r>
        <w:rPr>
          <w:rFonts w:eastAsia="方正仿宋_GBK"/>
          <w:sz w:val="32"/>
          <w:highlight w:val="none"/>
        </w:rPr>
        <w:t>法定代表人、电源类型、装机容量、联系方式等。</w:t>
      </w:r>
      <w:r>
        <w:rPr>
          <w:rFonts w:eastAsia="方正仿宋_GBK"/>
          <w:sz w:val="32"/>
          <w:highlight w:val="none"/>
          <w:lang w:val="en-US"/>
        </w:rPr>
        <w:t xml:space="preserve"> </w:t>
      </w:r>
    </w:p>
    <w:p>
      <w:pPr>
        <w:pStyle w:val="18"/>
        <w:numPr>
          <w:ilvl w:val="0"/>
          <w:numId w:val="3"/>
        </w:numPr>
        <w:spacing w:line="560" w:lineRule="exact"/>
        <w:ind w:firstLine="600"/>
        <w:jc w:val="both"/>
        <w:textAlignment w:val="auto"/>
        <w:rPr>
          <w:rFonts w:eastAsia="方正仿宋_GBK"/>
          <w:sz w:val="32"/>
          <w:highlight w:val="none"/>
        </w:rPr>
      </w:pPr>
      <w:r>
        <w:rPr>
          <w:rFonts w:eastAsia="方正仿宋_GBK"/>
          <w:sz w:val="32"/>
          <w:highlight w:val="none"/>
        </w:rPr>
        <w:t>企业变更情况，包括企业更名或法定代表人变更</w:t>
      </w:r>
      <w:r>
        <w:rPr>
          <w:rFonts w:hint="eastAsia" w:eastAsia="方正仿宋_GBK"/>
          <w:sz w:val="32"/>
          <w:highlight w:val="none"/>
        </w:rPr>
        <w:t>，</w:t>
      </w:r>
      <w:r>
        <w:rPr>
          <w:rFonts w:eastAsia="方正仿宋_GBK"/>
          <w:sz w:val="32"/>
          <w:highlight w:val="none"/>
        </w:rPr>
        <w:t>企业</w:t>
      </w:r>
      <w:r>
        <w:rPr>
          <w:rFonts w:eastAsia="方正仿宋_GBK"/>
          <w:sz w:val="32"/>
          <w:highlight w:val="none"/>
          <w:lang w:val="en-US"/>
        </w:rPr>
        <w:t>增</w:t>
      </w:r>
      <w:r>
        <w:rPr>
          <w:rFonts w:eastAsia="方正仿宋_GBK"/>
          <w:sz w:val="32"/>
          <w:highlight w:val="none"/>
        </w:rPr>
        <w:t>减资、合并、分立、解散及申请破产的决定</w:t>
      </w:r>
      <w:r>
        <w:rPr>
          <w:rFonts w:hint="eastAsia" w:eastAsia="方正仿宋_GBK"/>
          <w:sz w:val="32"/>
          <w:highlight w:val="none"/>
        </w:rPr>
        <w:t>，</w:t>
      </w:r>
      <w:r>
        <w:rPr>
          <w:rFonts w:eastAsia="方正仿宋_GBK"/>
          <w:sz w:val="32"/>
          <w:highlight w:val="none"/>
        </w:rPr>
        <w:t xml:space="preserve">依法进入破产程序、被责令关闭等重大经营信息。 </w:t>
      </w:r>
    </w:p>
    <w:p>
      <w:pPr>
        <w:pStyle w:val="18"/>
        <w:numPr>
          <w:ilvl w:val="0"/>
          <w:numId w:val="3"/>
        </w:numPr>
        <w:spacing w:line="560" w:lineRule="exact"/>
        <w:ind w:firstLine="600"/>
        <w:jc w:val="both"/>
        <w:textAlignment w:val="auto"/>
        <w:rPr>
          <w:rFonts w:eastAsia="方正仿宋_GBK"/>
          <w:sz w:val="32"/>
          <w:highlight w:val="none"/>
        </w:rPr>
      </w:pPr>
      <w:r>
        <w:rPr>
          <w:rFonts w:eastAsia="方正仿宋_GBK"/>
          <w:sz w:val="32"/>
          <w:highlight w:val="none"/>
        </w:rPr>
        <w:t>与其他市场</w:t>
      </w:r>
      <w:r>
        <w:rPr>
          <w:rFonts w:hint="eastAsia" w:eastAsia="方正仿宋_GBK"/>
          <w:sz w:val="32"/>
          <w:highlight w:val="none"/>
          <w:lang w:eastAsia="zh-CN"/>
        </w:rPr>
        <w:t>经营</w:t>
      </w:r>
      <w:r>
        <w:rPr>
          <w:rFonts w:eastAsia="方正仿宋_GBK"/>
          <w:sz w:val="32"/>
          <w:highlight w:val="none"/>
        </w:rPr>
        <w:t>主体之间的</w:t>
      </w:r>
      <w:r>
        <w:rPr>
          <w:rFonts w:hint="eastAsia" w:eastAsia="方正仿宋_GBK"/>
          <w:sz w:val="32"/>
          <w:highlight w:val="none"/>
          <w:lang w:val="en-US" w:eastAsia="zh-CN"/>
        </w:rPr>
        <w:t>股权</w:t>
      </w:r>
      <w:r>
        <w:rPr>
          <w:rFonts w:eastAsia="方正仿宋_GBK"/>
          <w:sz w:val="32"/>
          <w:highlight w:val="none"/>
        </w:rPr>
        <w:t>关联</w:t>
      </w:r>
      <w:r>
        <w:rPr>
          <w:rFonts w:eastAsia="方正仿宋_GBK"/>
          <w:sz w:val="32"/>
          <w:highlight w:val="none"/>
          <w:lang w:val="en-US"/>
        </w:rPr>
        <w:t>关系</w:t>
      </w:r>
      <w:r>
        <w:rPr>
          <w:rFonts w:eastAsia="方正仿宋_GBK"/>
          <w:sz w:val="32"/>
          <w:highlight w:val="none"/>
        </w:rPr>
        <w:t xml:space="preserve">信息。 </w:t>
      </w:r>
    </w:p>
    <w:p>
      <w:pPr>
        <w:pStyle w:val="18"/>
        <w:numPr>
          <w:ilvl w:val="0"/>
          <w:numId w:val="3"/>
        </w:numPr>
        <w:spacing w:line="560" w:lineRule="exact"/>
        <w:ind w:firstLine="600"/>
        <w:jc w:val="both"/>
        <w:textAlignment w:val="auto"/>
        <w:rPr>
          <w:rFonts w:eastAsia="方正仿宋_GBK"/>
          <w:sz w:val="32"/>
          <w:highlight w:val="none"/>
        </w:rPr>
      </w:pPr>
      <w:r>
        <w:rPr>
          <w:rFonts w:eastAsia="方正仿宋_GBK"/>
          <w:sz w:val="32"/>
          <w:highlight w:val="none"/>
        </w:rPr>
        <w:t>其他政策法规要求向社会公众</w:t>
      </w:r>
      <w:r>
        <w:rPr>
          <w:rFonts w:hint="eastAsia" w:eastAsia="方正仿宋_GBK"/>
          <w:sz w:val="32"/>
          <w:highlight w:val="none"/>
          <w:lang w:val="en-US"/>
        </w:rPr>
        <w:t>披露</w:t>
      </w:r>
      <w:r>
        <w:rPr>
          <w:rFonts w:eastAsia="方正仿宋_GBK"/>
          <w:sz w:val="32"/>
          <w:highlight w:val="none"/>
        </w:rPr>
        <w:t xml:space="preserve">的信息。 </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发电企业应当披露的公开信息包括：</w:t>
      </w:r>
    </w:p>
    <w:p>
      <w:pPr>
        <w:pStyle w:val="18"/>
        <w:numPr>
          <w:ilvl w:val="0"/>
          <w:numId w:val="4"/>
        </w:numPr>
        <w:spacing w:line="560" w:lineRule="exact"/>
        <w:ind w:firstLine="600"/>
        <w:rPr>
          <w:rFonts w:eastAsia="方正仿宋_GBK"/>
          <w:sz w:val="32"/>
          <w:highlight w:val="none"/>
        </w:rPr>
      </w:pPr>
      <w:r>
        <w:rPr>
          <w:rFonts w:eastAsia="方正仿宋_GBK"/>
          <w:sz w:val="32"/>
          <w:highlight w:val="none"/>
        </w:rPr>
        <w:t>电厂机组信息，包括电厂调度名称，所在地</w:t>
      </w:r>
      <w:r>
        <w:rPr>
          <w:rFonts w:hint="eastAsia" w:eastAsia="方正仿宋_GBK"/>
          <w:sz w:val="32"/>
          <w:highlight w:val="none"/>
          <w:lang w:val="en-US" w:eastAsia="zh-CN"/>
        </w:rPr>
        <w:t>市，</w:t>
      </w:r>
      <w:r>
        <w:rPr>
          <w:rFonts w:eastAsia="方正仿宋_GBK"/>
          <w:sz w:val="32"/>
          <w:highlight w:val="none"/>
        </w:rPr>
        <w:t>电力业务许可证（发电类）编号，机组调度管辖关系，投运机组台数，单机容量及类型，投运日期，接入电压等级</w:t>
      </w:r>
      <w:r>
        <w:rPr>
          <w:rFonts w:hint="eastAsia" w:eastAsia="方正仿宋_GBK"/>
          <w:sz w:val="32"/>
          <w:highlight w:val="none"/>
        </w:rPr>
        <w:t>，</w:t>
      </w:r>
      <w:r>
        <w:rPr>
          <w:rFonts w:eastAsia="方正仿宋_GBK"/>
          <w:sz w:val="32"/>
          <w:highlight w:val="none"/>
        </w:rPr>
        <w:t>单机最大出力</w:t>
      </w:r>
      <w:r>
        <w:rPr>
          <w:rFonts w:hint="eastAsia" w:eastAsia="方正仿宋_GBK"/>
          <w:sz w:val="32"/>
          <w:highlight w:val="none"/>
        </w:rPr>
        <w:t>、机组出力受限的技术类型（如流化床、高背压供热）</w:t>
      </w:r>
      <w:r>
        <w:rPr>
          <w:rFonts w:hint="eastAsia" w:eastAsia="方正仿宋_GBK"/>
          <w:sz w:val="32"/>
          <w:highlight w:val="none"/>
          <w:lang w:eastAsia="zh-CN"/>
        </w:rPr>
        <w:t>，</w:t>
      </w:r>
      <w:r>
        <w:rPr>
          <w:rFonts w:hint="eastAsia" w:eastAsia="方正仿宋_GBK"/>
          <w:sz w:val="32"/>
          <w:highlight w:val="none"/>
          <w:lang w:val="en-US" w:eastAsia="zh-CN"/>
        </w:rPr>
        <w:t>抽蓄机组</w:t>
      </w:r>
      <w:r>
        <w:rPr>
          <w:rFonts w:hint="eastAsia" w:eastAsia="方正仿宋_GBK"/>
          <w:sz w:val="32"/>
          <w:highlight w:val="none"/>
          <w:lang w:val="en-US"/>
        </w:rPr>
        <w:t>最大</w:t>
      </w:r>
      <w:r>
        <w:rPr>
          <w:rFonts w:hint="eastAsia" w:eastAsia="方正仿宋_GBK"/>
          <w:sz w:val="32"/>
          <w:highlight w:val="none"/>
          <w:lang w:val="en-US" w:eastAsia="zh-CN"/>
        </w:rPr>
        <w:t>及最小</w:t>
      </w:r>
      <w:r>
        <w:rPr>
          <w:rFonts w:hint="eastAsia" w:eastAsia="方正仿宋_GBK"/>
          <w:sz w:val="32"/>
          <w:highlight w:val="none"/>
          <w:lang w:val="en-US"/>
        </w:rPr>
        <w:t>抽水充电能力、静止到满载发电</w:t>
      </w:r>
      <w:r>
        <w:rPr>
          <w:rFonts w:hint="eastAsia" w:eastAsia="方正仿宋_GBK"/>
          <w:sz w:val="32"/>
          <w:highlight w:val="none"/>
          <w:lang w:val="en-US" w:eastAsia="zh-CN"/>
        </w:rPr>
        <w:t>及抽水</w:t>
      </w:r>
      <w:r>
        <w:rPr>
          <w:rFonts w:hint="eastAsia" w:eastAsia="方正仿宋_GBK"/>
          <w:sz w:val="32"/>
          <w:highlight w:val="none"/>
          <w:lang w:val="en-US"/>
        </w:rPr>
        <w:t>时间</w:t>
      </w:r>
      <w:r>
        <w:rPr>
          <w:rFonts w:eastAsia="方正仿宋_GBK"/>
          <w:sz w:val="32"/>
          <w:highlight w:val="none"/>
        </w:rPr>
        <w:t xml:space="preserve">等。 </w:t>
      </w:r>
    </w:p>
    <w:p>
      <w:pPr>
        <w:pStyle w:val="18"/>
        <w:numPr>
          <w:ilvl w:val="0"/>
          <w:numId w:val="4"/>
        </w:numPr>
        <w:spacing w:line="560" w:lineRule="exact"/>
        <w:ind w:firstLine="600"/>
        <w:rPr>
          <w:rFonts w:eastAsia="方正仿宋_GBK"/>
          <w:sz w:val="32"/>
          <w:highlight w:val="none"/>
        </w:rPr>
      </w:pPr>
      <w:r>
        <w:rPr>
          <w:rFonts w:hint="eastAsia" w:eastAsia="方正仿宋_GBK"/>
          <w:sz w:val="32"/>
          <w:highlight w:val="none"/>
          <w:lang w:val="en-US"/>
        </w:rPr>
        <w:t>配建储能信息（如有）。</w:t>
      </w:r>
    </w:p>
    <w:p>
      <w:pPr>
        <w:pStyle w:val="18"/>
        <w:numPr>
          <w:ilvl w:val="0"/>
          <w:numId w:val="4"/>
        </w:numPr>
        <w:spacing w:line="560" w:lineRule="exact"/>
        <w:ind w:firstLine="600"/>
        <w:rPr>
          <w:rFonts w:eastAsia="方正仿宋_GBK"/>
          <w:sz w:val="32"/>
          <w:highlight w:val="none"/>
        </w:rPr>
      </w:pPr>
      <w:r>
        <w:rPr>
          <w:rFonts w:eastAsia="方正仿宋_GBK"/>
          <w:sz w:val="32"/>
          <w:highlight w:val="none"/>
        </w:rPr>
        <w:t>机组出力受限情况。</w:t>
      </w:r>
    </w:p>
    <w:p>
      <w:pPr>
        <w:pStyle w:val="18"/>
        <w:numPr>
          <w:ilvl w:val="0"/>
          <w:numId w:val="4"/>
        </w:numPr>
        <w:spacing w:line="560" w:lineRule="exact"/>
        <w:ind w:firstLine="600"/>
        <w:rPr>
          <w:rFonts w:eastAsia="方正仿宋_GBK"/>
          <w:sz w:val="32"/>
          <w:highlight w:val="none"/>
        </w:rPr>
      </w:pPr>
      <w:r>
        <w:rPr>
          <w:rFonts w:eastAsia="方正仿宋_GBK"/>
          <w:sz w:val="32"/>
          <w:highlight w:val="none"/>
        </w:rPr>
        <w:t xml:space="preserve">机组检修及设备改造计划。 </w:t>
      </w:r>
    </w:p>
    <w:p>
      <w:pPr>
        <w:pStyle w:val="18"/>
        <w:numPr>
          <w:ilvl w:val="0"/>
          <w:numId w:val="4"/>
        </w:numPr>
        <w:spacing w:line="560" w:lineRule="exact"/>
        <w:ind w:firstLine="600"/>
        <w:rPr>
          <w:rFonts w:eastAsia="方正仿宋_GBK"/>
          <w:sz w:val="32"/>
          <w:highlight w:val="none"/>
        </w:rPr>
      </w:pPr>
      <w:r>
        <w:rPr>
          <w:rFonts w:hint="eastAsia" w:eastAsia="方正仿宋_GBK"/>
          <w:sz w:val="32"/>
          <w:highlight w:val="none"/>
          <w:lang w:val="en-US"/>
        </w:rPr>
        <w:t>发电企业批发市场月度售电量、售电均价。</w:t>
      </w:r>
    </w:p>
    <w:p>
      <w:pPr>
        <w:pStyle w:val="16"/>
        <w:numPr>
          <w:ilvl w:val="0"/>
          <w:numId w:val="2"/>
        </w:numPr>
        <w:spacing w:line="560" w:lineRule="exact"/>
        <w:ind w:firstLine="600"/>
        <w:rPr>
          <w:rFonts w:eastAsia="方正仿宋_GBK"/>
          <w:sz w:val="32"/>
          <w:szCs w:val="32"/>
          <w:highlight w:val="none"/>
        </w:rPr>
      </w:pPr>
      <w:r>
        <w:rPr>
          <w:rFonts w:eastAsia="方正仿宋_GBK"/>
          <w:sz w:val="32"/>
          <w:szCs w:val="32"/>
          <w:highlight w:val="none"/>
        </w:rPr>
        <w:t>发电企业应当向特定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p>
    <w:p>
      <w:pPr>
        <w:pStyle w:val="18"/>
        <w:numPr>
          <w:ilvl w:val="0"/>
          <w:numId w:val="5"/>
        </w:numPr>
        <w:spacing w:line="560" w:lineRule="exact"/>
        <w:ind w:firstLine="600"/>
        <w:rPr>
          <w:rFonts w:eastAsia="方正仿宋_GBK"/>
          <w:sz w:val="32"/>
          <w:highlight w:val="none"/>
          <w:lang w:val="en-US"/>
        </w:rPr>
      </w:pPr>
      <w:r>
        <w:rPr>
          <w:rFonts w:eastAsia="方正仿宋_GBK"/>
          <w:sz w:val="32"/>
          <w:highlight w:val="none"/>
          <w:lang w:val="en-US"/>
        </w:rPr>
        <w:t>市场交易申报信息、合同信息。</w:t>
      </w:r>
    </w:p>
    <w:p>
      <w:pPr>
        <w:pStyle w:val="18"/>
        <w:numPr>
          <w:ilvl w:val="0"/>
          <w:numId w:val="5"/>
        </w:numPr>
        <w:spacing w:line="560" w:lineRule="exact"/>
        <w:ind w:firstLine="600"/>
        <w:rPr>
          <w:rFonts w:eastAsia="方正仿宋_GBK"/>
          <w:sz w:val="32"/>
          <w:highlight w:val="none"/>
        </w:rPr>
      </w:pPr>
      <w:r>
        <w:rPr>
          <w:rFonts w:eastAsia="方正仿宋_GBK"/>
          <w:sz w:val="32"/>
          <w:highlight w:val="none"/>
          <w:lang w:val="en-US"/>
        </w:rPr>
        <w:t>核定</w:t>
      </w:r>
      <w:r>
        <w:rPr>
          <w:rFonts w:hint="eastAsia" w:eastAsia="方正仿宋_GBK"/>
          <w:sz w:val="32"/>
          <w:highlight w:val="none"/>
          <w:lang w:val="en-US" w:eastAsia="zh-CN"/>
        </w:rPr>
        <w:t>（设计）</w:t>
      </w:r>
      <w:r>
        <w:rPr>
          <w:rFonts w:eastAsia="方正仿宋_GBK"/>
          <w:sz w:val="32"/>
          <w:highlight w:val="none"/>
          <w:lang w:val="en-US"/>
        </w:rPr>
        <w:t>最低技术出力，核定</w:t>
      </w:r>
      <w:r>
        <w:rPr>
          <w:rFonts w:hint="eastAsia" w:eastAsia="方正仿宋_GBK"/>
          <w:sz w:val="32"/>
          <w:highlight w:val="none"/>
          <w:lang w:val="en-US" w:eastAsia="zh-CN"/>
        </w:rPr>
        <w:t>（设计）</w:t>
      </w:r>
      <w:r>
        <w:rPr>
          <w:rFonts w:eastAsia="方正仿宋_GBK"/>
          <w:sz w:val="32"/>
          <w:highlight w:val="none"/>
          <w:lang w:val="en-US"/>
        </w:rPr>
        <w:t>深调极限出力</w:t>
      </w:r>
      <w:r>
        <w:rPr>
          <w:rFonts w:hint="eastAsia" w:eastAsia="方正仿宋_GBK"/>
          <w:sz w:val="32"/>
          <w:highlight w:val="none"/>
          <w:lang w:val="en-US" w:eastAsia="zh-CN"/>
        </w:rPr>
        <w:t>，</w:t>
      </w:r>
      <w:r>
        <w:rPr>
          <w:rFonts w:hint="eastAsia" w:eastAsia="方正仿宋_GBK"/>
          <w:sz w:val="32"/>
          <w:highlight w:val="none"/>
        </w:rPr>
        <w:t>机组爬坡速率、机组边际能耗曲线、机组最小开停机时间、机组预计并网和解列时间、机组启停出力曲线、机组调试计划曲</w:t>
      </w:r>
      <w:r>
        <w:rPr>
          <w:rFonts w:eastAsia="方正仿宋_GBK"/>
          <w:sz w:val="32"/>
          <w:highlight w:val="none"/>
        </w:rPr>
        <w:t>线、调频、调压、日内允许启停次数、厂用电率</w:t>
      </w:r>
      <w:r>
        <w:rPr>
          <w:rFonts w:hint="eastAsia" w:eastAsia="方正仿宋_GBK"/>
          <w:sz w:val="32"/>
          <w:highlight w:val="none"/>
          <w:lang w:eastAsia="zh-CN"/>
        </w:rPr>
        <w:t>，</w:t>
      </w:r>
      <w:r>
        <w:rPr>
          <w:rFonts w:eastAsia="方正仿宋_GBK"/>
          <w:sz w:val="32"/>
          <w:highlight w:val="none"/>
        </w:rPr>
        <w:t>热电联产机组供热信息等机组性能参数</w:t>
      </w:r>
      <w:r>
        <w:rPr>
          <w:rFonts w:hint="eastAsia" w:eastAsia="方正仿宋_GBK"/>
          <w:sz w:val="32"/>
          <w:highlight w:val="none"/>
          <w:lang w:val="en-US" w:eastAsia="zh-CN"/>
        </w:rPr>
        <w:t>。</w:t>
      </w:r>
    </w:p>
    <w:p>
      <w:pPr>
        <w:pStyle w:val="18"/>
        <w:numPr>
          <w:ilvl w:val="0"/>
          <w:numId w:val="5"/>
        </w:numPr>
        <w:spacing w:line="560" w:lineRule="exact"/>
        <w:ind w:firstLine="600"/>
        <w:rPr>
          <w:rFonts w:eastAsia="方正仿宋_GBK"/>
          <w:sz w:val="32"/>
          <w:highlight w:val="none"/>
        </w:rPr>
      </w:pPr>
      <w:r>
        <w:rPr>
          <w:rFonts w:hint="eastAsia" w:eastAsia="方正仿宋_GBK"/>
          <w:sz w:val="32"/>
          <w:highlight w:val="none"/>
          <w:lang w:val="en-US" w:eastAsia="zh-CN"/>
        </w:rPr>
        <w:t>机组</w:t>
      </w:r>
      <w:r>
        <w:rPr>
          <w:rFonts w:eastAsia="方正仿宋_GBK"/>
          <w:sz w:val="32"/>
          <w:highlight w:val="none"/>
          <w:lang w:val="en-US"/>
        </w:rPr>
        <w:t>实际</w:t>
      </w:r>
      <w:r>
        <w:rPr>
          <w:rFonts w:eastAsia="方正仿宋_GBK"/>
          <w:sz w:val="32"/>
          <w:highlight w:val="none"/>
        </w:rPr>
        <w:t>出力</w:t>
      </w:r>
      <w:r>
        <w:rPr>
          <w:rFonts w:eastAsia="方正仿宋_GBK"/>
          <w:sz w:val="32"/>
          <w:highlight w:val="none"/>
          <w:lang w:val="en-US"/>
        </w:rPr>
        <w:t>和发</w:t>
      </w:r>
      <w:r>
        <w:rPr>
          <w:rFonts w:eastAsia="方正仿宋_GBK"/>
          <w:sz w:val="32"/>
          <w:highlight w:val="none"/>
        </w:rPr>
        <w:t>电量、</w:t>
      </w:r>
      <w:r>
        <w:rPr>
          <w:rFonts w:eastAsia="方正仿宋_GBK"/>
          <w:sz w:val="32"/>
          <w:highlight w:val="none"/>
          <w:lang w:val="en-US"/>
        </w:rPr>
        <w:t>上网电量</w:t>
      </w:r>
      <w:r>
        <w:rPr>
          <w:rFonts w:hint="eastAsia" w:eastAsia="方正仿宋_GBK"/>
          <w:sz w:val="32"/>
          <w:highlight w:val="none"/>
          <w:lang w:val="en-US" w:eastAsia="zh-CN"/>
        </w:rPr>
        <w:t>、</w:t>
      </w:r>
      <w:r>
        <w:rPr>
          <w:rFonts w:eastAsia="方正仿宋_GBK"/>
          <w:sz w:val="32"/>
          <w:highlight w:val="none"/>
        </w:rPr>
        <w:t>计量点</w:t>
      </w:r>
      <w:r>
        <w:rPr>
          <w:rFonts w:eastAsia="方正仿宋_GBK"/>
          <w:sz w:val="32"/>
          <w:highlight w:val="none"/>
          <w:lang w:val="en-US"/>
        </w:rPr>
        <w:t>信息</w:t>
      </w:r>
      <w:r>
        <w:rPr>
          <w:rFonts w:hint="eastAsia" w:eastAsia="方正仿宋_GBK"/>
          <w:sz w:val="32"/>
          <w:highlight w:val="none"/>
          <w:lang w:val="en-US" w:eastAsia="zh-CN"/>
        </w:rPr>
        <w:t>等</w:t>
      </w:r>
      <w:r>
        <w:rPr>
          <w:rFonts w:eastAsia="方正仿宋_GBK"/>
          <w:sz w:val="32"/>
          <w:highlight w:val="none"/>
        </w:rPr>
        <w:t>。</w:t>
      </w:r>
    </w:p>
    <w:p>
      <w:pPr>
        <w:pStyle w:val="18"/>
        <w:numPr>
          <w:ilvl w:val="0"/>
          <w:numId w:val="5"/>
        </w:numPr>
        <w:spacing w:line="560" w:lineRule="exact"/>
        <w:ind w:firstLine="600"/>
        <w:rPr>
          <w:rFonts w:eastAsia="方正仿宋_GBK"/>
          <w:sz w:val="32"/>
          <w:highlight w:val="none"/>
        </w:rPr>
      </w:pPr>
      <w:r>
        <w:rPr>
          <w:rFonts w:eastAsia="方正仿宋_GBK"/>
          <w:sz w:val="32"/>
          <w:highlight w:val="none"/>
        </w:rPr>
        <w:t>发电企业燃料供应情况、</w:t>
      </w:r>
      <w:r>
        <w:rPr>
          <w:rFonts w:hint="eastAsia" w:eastAsia="方正仿宋_GBK"/>
          <w:sz w:val="32"/>
          <w:highlight w:val="none"/>
          <w:lang w:eastAsia="zh-CN"/>
        </w:rPr>
        <w:t>燃料采购价格、</w:t>
      </w:r>
      <w:r>
        <w:rPr>
          <w:rFonts w:eastAsia="方正仿宋_GBK"/>
          <w:sz w:val="32"/>
          <w:highlight w:val="none"/>
        </w:rPr>
        <w:t>存储情况、供应风险等。</w:t>
      </w:r>
    </w:p>
    <w:p>
      <w:pPr>
        <w:pStyle w:val="18"/>
        <w:numPr>
          <w:ilvl w:val="0"/>
          <w:numId w:val="5"/>
        </w:numPr>
        <w:spacing w:line="560" w:lineRule="exact"/>
        <w:ind w:firstLine="600"/>
        <w:rPr>
          <w:rFonts w:eastAsia="方正仿宋_GBK"/>
          <w:sz w:val="32"/>
          <w:highlight w:val="none"/>
        </w:rPr>
      </w:pPr>
      <w:r>
        <w:rPr>
          <w:rFonts w:hint="eastAsia" w:eastAsia="方正仿宋_GBK"/>
          <w:sz w:val="32"/>
          <w:highlight w:val="none"/>
          <w:lang w:val="en-US" w:eastAsia="zh-CN"/>
        </w:rPr>
        <w:t>水电、新能源</w:t>
      </w:r>
      <w:r>
        <w:rPr>
          <w:rFonts w:eastAsia="方正仿宋_GBK"/>
          <w:sz w:val="32"/>
          <w:highlight w:val="none"/>
        </w:rPr>
        <w:t>机组</w:t>
      </w:r>
      <w:r>
        <w:rPr>
          <w:rFonts w:eastAsia="方正仿宋_GBK"/>
          <w:sz w:val="32"/>
          <w:highlight w:val="none"/>
          <w:lang w:val="en-US"/>
        </w:rPr>
        <w:t>发电出力预测</w:t>
      </w:r>
      <w:r>
        <w:rPr>
          <w:rFonts w:hint="eastAsia" w:eastAsia="方正仿宋_GBK"/>
          <w:sz w:val="32"/>
          <w:highlight w:val="none"/>
          <w:lang w:val="en-US" w:eastAsia="zh-CN"/>
        </w:rPr>
        <w:t>。</w:t>
      </w:r>
    </w:p>
    <w:p>
      <w:pPr>
        <w:pStyle w:val="17"/>
        <w:spacing w:before="0" w:beforeLines="0" w:line="560" w:lineRule="exact"/>
        <w:ind w:left="0" w:firstLine="0"/>
        <w:textAlignment w:val="auto"/>
        <w:rPr>
          <w:rFonts w:ascii="方正楷体_GBK" w:hAnsi="方正楷体_GBK"/>
          <w:sz w:val="32"/>
          <w:szCs w:val="32"/>
          <w:highlight w:val="none"/>
        </w:rPr>
      </w:pPr>
      <w:bookmarkStart w:id="4" w:name="_Toc22631712"/>
      <w:r>
        <w:rPr>
          <w:rFonts w:ascii="方正楷体_GBK" w:hAnsi="方正楷体_GBK"/>
          <w:sz w:val="32"/>
          <w:szCs w:val="32"/>
          <w:highlight w:val="none"/>
        </w:rPr>
        <w:t>第二节 售电公司</w:t>
      </w:r>
      <w:bookmarkEnd w:id="4"/>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售电公司应当披露的公众信息包括：</w:t>
      </w:r>
    </w:p>
    <w:p>
      <w:pPr>
        <w:pStyle w:val="18"/>
        <w:numPr>
          <w:ilvl w:val="0"/>
          <w:numId w:val="6"/>
        </w:numPr>
        <w:spacing w:line="560" w:lineRule="exact"/>
        <w:ind w:firstLine="600"/>
        <w:rPr>
          <w:rFonts w:eastAsia="方正仿宋_GBK"/>
          <w:sz w:val="32"/>
          <w:highlight w:val="none"/>
        </w:rPr>
      </w:pPr>
      <w:r>
        <w:rPr>
          <w:rFonts w:eastAsia="方正仿宋_GBK"/>
          <w:sz w:val="32"/>
          <w:highlight w:val="none"/>
        </w:rPr>
        <w:t>企业全称、企业性质、售电公司类型、工商注册时间、注册资本金、统一社会信用代码</w:t>
      </w:r>
      <w:r>
        <w:rPr>
          <w:rFonts w:eastAsia="方正仿宋_GBK"/>
          <w:sz w:val="32"/>
          <w:highlight w:val="none"/>
          <w:lang w:val="en-US"/>
        </w:rPr>
        <w:t>、股权结构、经营范围、</w:t>
      </w:r>
      <w:r>
        <w:rPr>
          <w:rFonts w:eastAsia="方正仿宋_GBK"/>
          <w:sz w:val="32"/>
          <w:highlight w:val="none"/>
        </w:rPr>
        <w:t>法定代表人、联系方式、</w:t>
      </w:r>
      <w:r>
        <w:rPr>
          <w:rFonts w:eastAsia="方正仿宋_GBK"/>
          <w:sz w:val="32"/>
          <w:highlight w:val="none"/>
          <w:lang w:val="en-US"/>
        </w:rPr>
        <w:t>营业场所地址、</w:t>
      </w:r>
      <w:r>
        <w:rPr>
          <w:rFonts w:eastAsia="方正仿宋_GBK"/>
          <w:sz w:val="32"/>
          <w:highlight w:val="none"/>
        </w:rPr>
        <w:t xml:space="preserve">信用承诺书等。 </w:t>
      </w:r>
    </w:p>
    <w:p>
      <w:pPr>
        <w:pStyle w:val="18"/>
        <w:numPr>
          <w:ilvl w:val="0"/>
          <w:numId w:val="6"/>
        </w:numPr>
        <w:spacing w:line="560" w:lineRule="exact"/>
        <w:ind w:firstLine="640" w:firstLineChars="200"/>
        <w:rPr>
          <w:rFonts w:eastAsia="方正仿宋_GBK"/>
          <w:sz w:val="32"/>
          <w:highlight w:val="none"/>
          <w:lang w:val="en-US"/>
        </w:rPr>
      </w:pPr>
      <w:r>
        <w:rPr>
          <w:rFonts w:hint="eastAsia" w:eastAsia="方正仿宋_GBK"/>
          <w:sz w:val="32"/>
          <w:highlight w:val="none"/>
        </w:rPr>
        <w:t>企业资产信息，包括资产证明方式、资产证明出具机构</w:t>
      </w:r>
      <w:r>
        <w:rPr>
          <w:rFonts w:hint="eastAsia" w:eastAsia="方正仿宋_GBK"/>
          <w:sz w:val="32"/>
          <w:highlight w:val="none"/>
          <w:lang w:eastAsia="zh-CN"/>
        </w:rPr>
        <w:t>、</w:t>
      </w:r>
      <w:r>
        <w:rPr>
          <w:rFonts w:hint="eastAsia" w:eastAsia="方正仿宋_GBK"/>
          <w:sz w:val="32"/>
          <w:highlight w:val="none"/>
        </w:rPr>
        <w:t>报告文号</w:t>
      </w:r>
      <w:r>
        <w:rPr>
          <w:rFonts w:hint="eastAsia" w:eastAsia="方正仿宋_GBK"/>
          <w:sz w:val="32"/>
          <w:highlight w:val="none"/>
          <w:lang w:eastAsia="zh-CN"/>
        </w:rPr>
        <w:t>（</w:t>
      </w:r>
      <w:r>
        <w:rPr>
          <w:rFonts w:hint="eastAsia" w:eastAsia="方正仿宋_GBK"/>
          <w:sz w:val="32"/>
          <w:highlight w:val="none"/>
          <w:lang w:val="en-US" w:eastAsia="zh-CN"/>
        </w:rPr>
        <w:t>编号</w:t>
      </w:r>
      <w:r>
        <w:rPr>
          <w:rFonts w:hint="eastAsia" w:eastAsia="方正仿宋_GBK"/>
          <w:sz w:val="32"/>
          <w:highlight w:val="none"/>
          <w:lang w:eastAsia="zh-CN"/>
        </w:rPr>
        <w:t>）</w:t>
      </w:r>
      <w:r>
        <w:rPr>
          <w:rFonts w:hint="eastAsia" w:eastAsia="方正仿宋_GBK"/>
          <w:sz w:val="32"/>
          <w:highlight w:val="none"/>
        </w:rPr>
        <w:t>、报告日期、资产总额、实收资本总额等</w:t>
      </w:r>
      <w:r>
        <w:rPr>
          <w:rFonts w:hint="eastAsia" w:eastAsia="方正仿宋_GBK"/>
          <w:sz w:val="32"/>
          <w:highlight w:val="none"/>
          <w:lang w:val="en-US"/>
        </w:rPr>
        <w:t>。</w:t>
      </w:r>
    </w:p>
    <w:p>
      <w:pPr>
        <w:pStyle w:val="18"/>
        <w:numPr>
          <w:ilvl w:val="0"/>
          <w:numId w:val="6"/>
        </w:numPr>
        <w:spacing w:line="560" w:lineRule="exact"/>
        <w:ind w:firstLine="600"/>
        <w:rPr>
          <w:rFonts w:eastAsia="方正仿宋_GBK"/>
          <w:sz w:val="32"/>
          <w:highlight w:val="none"/>
        </w:rPr>
      </w:pPr>
      <w:r>
        <w:rPr>
          <w:rFonts w:eastAsia="方正仿宋_GBK"/>
          <w:sz w:val="32"/>
          <w:highlight w:val="none"/>
        </w:rPr>
        <w:t>从业人员</w:t>
      </w:r>
      <w:r>
        <w:rPr>
          <w:rFonts w:eastAsia="方正仿宋_GBK"/>
          <w:sz w:val="32"/>
          <w:highlight w:val="none"/>
          <w:lang w:val="en-US"/>
        </w:rPr>
        <w:t>信息</w:t>
      </w:r>
      <w:r>
        <w:rPr>
          <w:rFonts w:hint="eastAsia" w:eastAsia="方正仿宋_GBK"/>
          <w:sz w:val="32"/>
          <w:highlight w:val="none"/>
          <w:lang w:val="en-US"/>
        </w:rPr>
        <w:t>，包括从业人员数量、职称及社保缴纳人数等</w:t>
      </w:r>
      <w:r>
        <w:rPr>
          <w:rFonts w:eastAsia="方正仿宋_GBK"/>
          <w:sz w:val="32"/>
          <w:highlight w:val="none"/>
        </w:rPr>
        <w:t xml:space="preserve">。 </w:t>
      </w:r>
    </w:p>
    <w:p>
      <w:pPr>
        <w:pStyle w:val="18"/>
        <w:numPr>
          <w:ilvl w:val="0"/>
          <w:numId w:val="6"/>
        </w:numPr>
        <w:spacing w:line="560" w:lineRule="exact"/>
        <w:ind w:firstLine="600"/>
        <w:rPr>
          <w:rFonts w:eastAsia="方正仿宋_GBK"/>
          <w:sz w:val="32"/>
          <w:highlight w:val="none"/>
        </w:rPr>
      </w:pPr>
      <w:r>
        <w:rPr>
          <w:rFonts w:eastAsia="方正仿宋_GBK"/>
          <w:sz w:val="32"/>
          <w:highlight w:val="none"/>
        </w:rPr>
        <w:t>企业变更情况，</w:t>
      </w:r>
      <w:r>
        <w:rPr>
          <w:rFonts w:eastAsia="方正仿宋_GBK"/>
          <w:sz w:val="32"/>
          <w:highlight w:val="none"/>
          <w:lang w:val="en-US"/>
        </w:rPr>
        <w:t>包括企业更名或法定代表人变更，</w:t>
      </w:r>
      <w:r>
        <w:rPr>
          <w:rFonts w:eastAsia="方正仿宋_GBK"/>
          <w:sz w:val="32"/>
          <w:highlight w:val="none"/>
        </w:rPr>
        <w:t>企业</w:t>
      </w:r>
      <w:r>
        <w:rPr>
          <w:rFonts w:hint="eastAsia" w:eastAsia="方正仿宋_GBK"/>
          <w:sz w:val="32"/>
          <w:highlight w:val="none"/>
          <w:lang w:val="en-US"/>
        </w:rPr>
        <w:t>增</w:t>
      </w:r>
      <w:r>
        <w:rPr>
          <w:rFonts w:eastAsia="方正仿宋_GBK"/>
          <w:sz w:val="32"/>
          <w:highlight w:val="none"/>
        </w:rPr>
        <w:t>减资、合并、分立、解散及申请破产的决定，或者依法进入破产程序、被责令关闭等重大经营信息，</w:t>
      </w:r>
      <w:r>
        <w:rPr>
          <w:rFonts w:eastAsia="方正仿宋_GBK"/>
          <w:sz w:val="32"/>
          <w:highlight w:val="none"/>
          <w:lang w:val="en-US"/>
        </w:rPr>
        <w:t>配电网运营资质变化</w:t>
      </w:r>
      <w:r>
        <w:rPr>
          <w:rFonts w:hint="eastAsia" w:eastAsia="方正仿宋_GBK"/>
          <w:sz w:val="32"/>
          <w:highlight w:val="none"/>
          <w:lang w:val="en-US"/>
        </w:rPr>
        <w:t>等</w:t>
      </w:r>
      <w:r>
        <w:rPr>
          <w:rFonts w:eastAsia="方正仿宋_GBK"/>
          <w:sz w:val="32"/>
          <w:highlight w:val="none"/>
        </w:rPr>
        <w:t>。</w:t>
      </w:r>
    </w:p>
    <w:p>
      <w:pPr>
        <w:pStyle w:val="18"/>
        <w:numPr>
          <w:ilvl w:val="0"/>
          <w:numId w:val="6"/>
        </w:numPr>
        <w:spacing w:line="560" w:lineRule="exact"/>
        <w:ind w:firstLine="600"/>
        <w:rPr>
          <w:rFonts w:eastAsia="方正仿宋_GBK"/>
          <w:sz w:val="32"/>
          <w:highlight w:val="none"/>
        </w:rPr>
      </w:pPr>
      <w:r>
        <w:rPr>
          <w:rFonts w:eastAsia="方正仿宋_GBK"/>
          <w:sz w:val="32"/>
          <w:highlight w:val="none"/>
          <w:lang w:val="en-US"/>
        </w:rPr>
        <w:t>售电公司年报信息</w:t>
      </w:r>
      <w:r>
        <w:rPr>
          <w:rFonts w:hint="eastAsia" w:eastAsia="方正仿宋_GBK"/>
          <w:sz w:val="32"/>
          <w:highlight w:val="none"/>
          <w:lang w:val="en-US"/>
        </w:rPr>
        <w:t>。内容</w:t>
      </w:r>
      <w:r>
        <w:rPr>
          <w:rFonts w:eastAsia="方正仿宋_GBK"/>
          <w:sz w:val="32"/>
          <w:highlight w:val="none"/>
          <w:lang w:val="en-US"/>
        </w:rPr>
        <w:t>包括但不限于：企业基本情况、持续满足市场准入条件情况、</w:t>
      </w:r>
      <w:r>
        <w:rPr>
          <w:rFonts w:hint="eastAsia" w:eastAsia="方正仿宋_GBK"/>
          <w:sz w:val="32"/>
          <w:highlight w:val="none"/>
          <w:lang w:val="en-US"/>
        </w:rPr>
        <w:t>财务情况</w:t>
      </w:r>
      <w:r>
        <w:rPr>
          <w:rFonts w:eastAsia="方正仿宋_GBK"/>
          <w:sz w:val="32"/>
          <w:highlight w:val="none"/>
          <w:lang w:val="en-US"/>
        </w:rPr>
        <w:t>、经营状况、业务范围、</w:t>
      </w:r>
      <w:r>
        <w:rPr>
          <w:rFonts w:hint="eastAsia" w:eastAsia="方正仿宋_GBK"/>
          <w:sz w:val="32"/>
          <w:highlight w:val="none"/>
          <w:lang w:val="en-US"/>
        </w:rPr>
        <w:t>履约情况</w:t>
      </w:r>
      <w:r>
        <w:rPr>
          <w:rFonts w:eastAsia="方正仿宋_GBK"/>
          <w:sz w:val="32"/>
          <w:highlight w:val="none"/>
          <w:lang w:val="en-US"/>
        </w:rPr>
        <w:t>、</w:t>
      </w:r>
      <w:r>
        <w:rPr>
          <w:rFonts w:hint="eastAsia" w:eastAsia="方正仿宋_GBK"/>
          <w:sz w:val="32"/>
          <w:highlight w:val="none"/>
          <w:lang w:val="en-US"/>
        </w:rPr>
        <w:t>重大事项</w:t>
      </w:r>
      <w:r>
        <w:rPr>
          <w:rFonts w:eastAsia="方正仿宋_GBK"/>
          <w:sz w:val="32"/>
          <w:highlight w:val="none"/>
          <w:lang w:val="en-US"/>
        </w:rPr>
        <w:t>，</w:t>
      </w:r>
      <w:r>
        <w:rPr>
          <w:rFonts w:hint="eastAsia" w:eastAsia="方正仿宋_GBK"/>
          <w:sz w:val="32"/>
          <w:highlight w:val="none"/>
          <w:lang w:val="en-US"/>
        </w:rPr>
        <w:t>信用</w:t>
      </w:r>
      <w:r>
        <w:rPr>
          <w:rFonts w:eastAsia="方正仿宋_GBK"/>
          <w:sz w:val="32"/>
          <w:highlight w:val="none"/>
          <w:lang w:val="en-US"/>
        </w:rPr>
        <w:t>信息</w:t>
      </w:r>
      <w:r>
        <w:rPr>
          <w:rFonts w:hint="eastAsia" w:eastAsia="方正仿宋_GBK"/>
          <w:sz w:val="32"/>
          <w:highlight w:val="none"/>
          <w:lang w:val="en-US"/>
        </w:rPr>
        <w:t>、竞争力</w:t>
      </w:r>
      <w:r>
        <w:rPr>
          <w:rFonts w:eastAsia="方正仿宋_GBK"/>
          <w:sz w:val="32"/>
          <w:highlight w:val="none"/>
          <w:lang w:val="en-US"/>
        </w:rPr>
        <w:t>等</w:t>
      </w:r>
      <w:r>
        <w:rPr>
          <w:rFonts w:eastAsia="方正仿宋_GBK"/>
          <w:sz w:val="32"/>
          <w:highlight w:val="none"/>
        </w:rPr>
        <w:t>。</w:t>
      </w:r>
    </w:p>
    <w:p>
      <w:pPr>
        <w:pStyle w:val="18"/>
        <w:numPr>
          <w:ilvl w:val="0"/>
          <w:numId w:val="6"/>
        </w:numPr>
        <w:spacing w:line="560" w:lineRule="exact"/>
        <w:ind w:firstLine="600"/>
        <w:rPr>
          <w:rFonts w:eastAsia="方正仿宋_GBK"/>
          <w:sz w:val="32"/>
          <w:highlight w:val="none"/>
        </w:rPr>
      </w:pPr>
      <w:r>
        <w:rPr>
          <w:rFonts w:eastAsia="方正仿宋_GBK"/>
          <w:sz w:val="32"/>
          <w:highlight w:val="none"/>
        </w:rPr>
        <w:t>售电公司</w:t>
      </w:r>
      <w:r>
        <w:rPr>
          <w:rFonts w:eastAsia="方正仿宋_GBK"/>
          <w:sz w:val="32"/>
          <w:highlight w:val="none"/>
          <w:lang w:val="en-US"/>
        </w:rPr>
        <w:t>零售</w:t>
      </w:r>
      <w:r>
        <w:rPr>
          <w:rFonts w:eastAsia="方正仿宋_GBK"/>
          <w:sz w:val="32"/>
          <w:highlight w:val="none"/>
        </w:rPr>
        <w:t>套餐</w:t>
      </w:r>
      <w:r>
        <w:rPr>
          <w:rFonts w:hint="eastAsia" w:eastAsia="方正仿宋_GBK"/>
          <w:sz w:val="32"/>
          <w:highlight w:val="none"/>
          <w:lang w:val="en-US" w:eastAsia="zh-CN"/>
        </w:rPr>
        <w:t>产品</w:t>
      </w:r>
      <w:r>
        <w:rPr>
          <w:rFonts w:eastAsia="方正仿宋_GBK"/>
          <w:sz w:val="32"/>
          <w:highlight w:val="none"/>
          <w:lang w:val="en-US"/>
        </w:rPr>
        <w:t>信息</w:t>
      </w:r>
      <w:r>
        <w:rPr>
          <w:rFonts w:eastAsia="方正仿宋_GBK"/>
          <w:sz w:val="32"/>
          <w:highlight w:val="none"/>
        </w:rPr>
        <w:t>。</w:t>
      </w:r>
    </w:p>
    <w:p>
      <w:pPr>
        <w:pStyle w:val="18"/>
        <w:numPr>
          <w:ilvl w:val="0"/>
          <w:numId w:val="6"/>
        </w:numPr>
        <w:spacing w:line="560" w:lineRule="exact"/>
        <w:ind w:firstLine="600"/>
        <w:rPr>
          <w:rFonts w:eastAsia="方正仿宋_GBK"/>
          <w:sz w:val="32"/>
          <w:highlight w:val="none"/>
        </w:rPr>
      </w:pPr>
      <w:r>
        <w:rPr>
          <w:rFonts w:eastAsia="方正仿宋_GBK"/>
          <w:sz w:val="32"/>
          <w:highlight w:val="none"/>
        </w:rPr>
        <w:t>与其他市场</w:t>
      </w:r>
      <w:r>
        <w:rPr>
          <w:rFonts w:hint="eastAsia" w:eastAsia="方正仿宋_GBK"/>
          <w:sz w:val="32"/>
          <w:highlight w:val="none"/>
          <w:lang w:eastAsia="zh-CN"/>
        </w:rPr>
        <w:t>经营</w:t>
      </w:r>
      <w:r>
        <w:rPr>
          <w:rFonts w:eastAsia="方正仿宋_GBK"/>
          <w:sz w:val="32"/>
          <w:highlight w:val="none"/>
        </w:rPr>
        <w:t>主体之间的</w:t>
      </w:r>
      <w:r>
        <w:rPr>
          <w:rFonts w:hint="eastAsia" w:eastAsia="方正仿宋_GBK"/>
          <w:sz w:val="32"/>
          <w:highlight w:val="none"/>
          <w:lang w:val="en-US" w:eastAsia="zh-CN"/>
        </w:rPr>
        <w:t>股权</w:t>
      </w:r>
      <w:r>
        <w:rPr>
          <w:rFonts w:eastAsia="方正仿宋_GBK"/>
          <w:sz w:val="32"/>
          <w:highlight w:val="none"/>
        </w:rPr>
        <w:t>关联关系信息。</w:t>
      </w:r>
      <w:r>
        <w:rPr>
          <w:rFonts w:hint="eastAsia" w:eastAsia="方正仿宋_GBK"/>
          <w:sz w:val="32"/>
          <w:highlight w:val="none"/>
          <w:lang w:val="en-US"/>
        </w:rPr>
        <w:t xml:space="preserve"> </w:t>
      </w:r>
    </w:p>
    <w:p>
      <w:pPr>
        <w:pStyle w:val="18"/>
        <w:numPr>
          <w:ilvl w:val="0"/>
          <w:numId w:val="6"/>
        </w:numPr>
        <w:spacing w:line="560" w:lineRule="exact"/>
        <w:ind w:firstLine="600"/>
        <w:jc w:val="both"/>
        <w:textAlignment w:val="auto"/>
        <w:rPr>
          <w:rFonts w:eastAsia="方正仿宋_GBK"/>
          <w:sz w:val="32"/>
          <w:highlight w:val="none"/>
        </w:rPr>
      </w:pPr>
      <w:r>
        <w:rPr>
          <w:rFonts w:eastAsia="方正仿宋_GBK"/>
          <w:sz w:val="32"/>
          <w:highlight w:val="none"/>
        </w:rPr>
        <w:t>其他政策法规要求向社会公众</w:t>
      </w:r>
      <w:r>
        <w:rPr>
          <w:rFonts w:hint="eastAsia" w:eastAsia="方正仿宋_GBK"/>
          <w:sz w:val="32"/>
          <w:highlight w:val="none"/>
          <w:lang w:val="en-US"/>
        </w:rPr>
        <w:t>披露</w:t>
      </w:r>
      <w:r>
        <w:rPr>
          <w:rFonts w:eastAsia="方正仿宋_GBK"/>
          <w:sz w:val="32"/>
          <w:highlight w:val="none"/>
        </w:rPr>
        <w:t>的信息。</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售电公司应当披露的公开信息包括：</w:t>
      </w:r>
    </w:p>
    <w:p>
      <w:pPr>
        <w:pStyle w:val="18"/>
        <w:numPr>
          <w:ilvl w:val="0"/>
          <w:numId w:val="7"/>
        </w:numPr>
        <w:spacing w:line="560" w:lineRule="exact"/>
        <w:ind w:firstLine="600"/>
        <w:rPr>
          <w:rFonts w:eastAsia="方正仿宋_GBK"/>
          <w:sz w:val="32"/>
          <w:highlight w:val="none"/>
          <w:lang w:val="en-US"/>
        </w:rPr>
      </w:pPr>
      <w:r>
        <w:rPr>
          <w:rFonts w:eastAsia="方正仿宋_GBK"/>
          <w:sz w:val="32"/>
          <w:highlight w:val="none"/>
          <w:lang w:val="en-US"/>
        </w:rPr>
        <w:t>履约保函、保险缴纳</w:t>
      </w:r>
      <w:r>
        <w:rPr>
          <w:rFonts w:hint="eastAsia" w:eastAsia="方正仿宋_GBK"/>
          <w:sz w:val="32"/>
          <w:highlight w:val="none"/>
          <w:lang w:val="en-US" w:eastAsia="zh-CN"/>
        </w:rPr>
        <w:t>金额、有效期等</w:t>
      </w:r>
      <w:r>
        <w:rPr>
          <w:rFonts w:eastAsia="方正仿宋_GBK"/>
          <w:sz w:val="32"/>
          <w:highlight w:val="none"/>
          <w:lang w:val="en-US"/>
        </w:rPr>
        <w:t>信息。</w:t>
      </w:r>
    </w:p>
    <w:p>
      <w:pPr>
        <w:pStyle w:val="18"/>
        <w:numPr>
          <w:ilvl w:val="0"/>
          <w:numId w:val="7"/>
        </w:numPr>
        <w:spacing w:line="560" w:lineRule="exact"/>
        <w:ind w:firstLine="600"/>
        <w:rPr>
          <w:rFonts w:eastAsia="方正仿宋_GBK"/>
          <w:sz w:val="32"/>
          <w:highlight w:val="none"/>
          <w:lang w:val="en-US"/>
        </w:rPr>
      </w:pPr>
      <w:r>
        <w:rPr>
          <w:rFonts w:eastAsia="方正仿宋_GBK"/>
          <w:sz w:val="32"/>
          <w:highlight w:val="none"/>
        </w:rPr>
        <w:t>拥有配电网运营权的售电公司应当披露电力业务许可证（供电类）编号、配电网电压等级、配电区域、配电价格等信息。</w:t>
      </w:r>
    </w:p>
    <w:p>
      <w:pPr>
        <w:pStyle w:val="18"/>
        <w:numPr>
          <w:ilvl w:val="0"/>
          <w:numId w:val="7"/>
        </w:numPr>
        <w:spacing w:line="560" w:lineRule="exact"/>
        <w:ind w:firstLine="600"/>
        <w:rPr>
          <w:rFonts w:eastAsia="方正仿宋_GBK"/>
          <w:sz w:val="32"/>
          <w:highlight w:val="none"/>
          <w:lang w:val="en-US"/>
        </w:rPr>
      </w:pPr>
      <w:r>
        <w:rPr>
          <w:rFonts w:hint="eastAsia" w:eastAsia="方正仿宋_GBK"/>
          <w:sz w:val="32"/>
          <w:highlight w:val="none"/>
          <w:lang w:val="en-US"/>
        </w:rPr>
        <w:t>售电公司批发侧及零售侧月度结算电量、购售电结算均价。</w:t>
      </w:r>
    </w:p>
    <w:p>
      <w:pPr>
        <w:pStyle w:val="18"/>
        <w:numPr>
          <w:ilvl w:val="0"/>
          <w:numId w:val="7"/>
        </w:numPr>
        <w:spacing w:line="560" w:lineRule="exact"/>
        <w:ind w:firstLine="600"/>
        <w:rPr>
          <w:rFonts w:eastAsia="方正仿宋_GBK"/>
          <w:sz w:val="32"/>
          <w:highlight w:val="none"/>
          <w:lang w:val="en-US"/>
        </w:rPr>
      </w:pPr>
      <w:r>
        <w:rPr>
          <w:rFonts w:eastAsia="方正仿宋_GBK"/>
          <w:sz w:val="32"/>
          <w:highlight w:val="none"/>
        </w:rPr>
        <w:t>财务审计报告</w:t>
      </w:r>
      <w:r>
        <w:rPr>
          <w:rFonts w:hint="eastAsia" w:eastAsia="方正仿宋_GBK"/>
          <w:sz w:val="32"/>
          <w:highlight w:val="none"/>
          <w:lang w:eastAsia="zh-CN"/>
        </w:rPr>
        <w:t>（</w:t>
      </w:r>
      <w:r>
        <w:rPr>
          <w:rFonts w:hint="eastAsia" w:eastAsia="方正仿宋_GBK"/>
          <w:sz w:val="32"/>
          <w:highlight w:val="none"/>
          <w:lang w:val="en-US" w:eastAsia="zh-CN"/>
        </w:rPr>
        <w:t>如有</w:t>
      </w:r>
      <w:r>
        <w:rPr>
          <w:rFonts w:hint="eastAsia" w:eastAsia="方正仿宋_GBK"/>
          <w:sz w:val="32"/>
          <w:highlight w:val="none"/>
          <w:lang w:eastAsia="zh-CN"/>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售电公司应当向特定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p>
    <w:p>
      <w:pPr>
        <w:pStyle w:val="18"/>
        <w:numPr>
          <w:ilvl w:val="0"/>
          <w:numId w:val="8"/>
        </w:numPr>
        <w:spacing w:line="560" w:lineRule="exact"/>
        <w:ind w:firstLine="567" w:firstLineChars="0"/>
        <w:rPr>
          <w:rFonts w:eastAsia="方正仿宋_GBK"/>
          <w:sz w:val="32"/>
          <w:highlight w:val="none"/>
          <w:lang w:val="en-US"/>
        </w:rPr>
      </w:pPr>
      <w:r>
        <w:rPr>
          <w:rFonts w:hint="eastAsia" w:eastAsia="方正仿宋_GBK"/>
          <w:sz w:val="32"/>
          <w:highlight w:val="none"/>
          <w:lang w:val="en-US"/>
        </w:rPr>
        <w:t>市场交易申报信息。</w:t>
      </w:r>
    </w:p>
    <w:p>
      <w:pPr>
        <w:pStyle w:val="18"/>
        <w:numPr>
          <w:ilvl w:val="0"/>
          <w:numId w:val="8"/>
        </w:numPr>
        <w:spacing w:line="560" w:lineRule="exact"/>
        <w:ind w:firstLine="600"/>
        <w:rPr>
          <w:rFonts w:eastAsia="方正仿宋_GBK"/>
          <w:sz w:val="32"/>
          <w:highlight w:val="none"/>
          <w:lang w:val="en-US"/>
        </w:rPr>
      </w:pPr>
      <w:r>
        <w:rPr>
          <w:rFonts w:hint="eastAsia" w:eastAsia="方正仿宋_GBK"/>
          <w:sz w:val="32"/>
          <w:highlight w:val="none"/>
          <w:lang w:val="en-US"/>
        </w:rPr>
        <w:t>与代理用户签订的购售电合同信息或者协议信息。</w:t>
      </w:r>
    </w:p>
    <w:p>
      <w:pPr>
        <w:pStyle w:val="18"/>
        <w:numPr>
          <w:ilvl w:val="0"/>
          <w:numId w:val="8"/>
        </w:numPr>
        <w:spacing w:line="560" w:lineRule="exact"/>
        <w:ind w:firstLine="600"/>
        <w:rPr>
          <w:rFonts w:eastAsia="方正仿宋_GBK"/>
          <w:sz w:val="32"/>
          <w:highlight w:val="none"/>
          <w:lang w:val="en-US"/>
        </w:rPr>
      </w:pPr>
      <w:r>
        <w:rPr>
          <w:rFonts w:hint="eastAsia" w:eastAsia="方正仿宋_GBK"/>
          <w:sz w:val="32"/>
          <w:highlight w:val="none"/>
          <w:lang w:val="en-US"/>
        </w:rPr>
        <w:t>与发电企业签订的交易合同信息。</w:t>
      </w:r>
    </w:p>
    <w:p>
      <w:pPr>
        <w:pStyle w:val="18"/>
        <w:numPr>
          <w:ilvl w:val="0"/>
          <w:numId w:val="8"/>
        </w:numPr>
        <w:spacing w:line="560" w:lineRule="exact"/>
        <w:ind w:firstLine="600"/>
        <w:rPr>
          <w:rFonts w:eastAsia="方正仿宋_GBK"/>
          <w:sz w:val="32"/>
          <w:highlight w:val="none"/>
          <w:lang w:val="en-US"/>
        </w:rPr>
      </w:pPr>
      <w:r>
        <w:rPr>
          <w:rFonts w:eastAsia="方正仿宋_GBK"/>
          <w:sz w:val="32"/>
          <w:highlight w:val="none"/>
        </w:rPr>
        <w:t>可参与系统调节的响应能力和响应方式等</w:t>
      </w:r>
      <w:r>
        <w:rPr>
          <w:rFonts w:hint="eastAsia" w:eastAsia="方正仿宋_GBK"/>
          <w:sz w:val="32"/>
          <w:highlight w:val="none"/>
        </w:rPr>
        <w:t>。</w:t>
      </w:r>
    </w:p>
    <w:p>
      <w:pPr>
        <w:pStyle w:val="17"/>
        <w:spacing w:before="0" w:beforeLines="0" w:line="560" w:lineRule="exact"/>
        <w:ind w:left="0" w:firstLine="0"/>
        <w:textAlignment w:val="auto"/>
        <w:rPr>
          <w:rFonts w:ascii="方正楷体_GBK" w:hAnsi="方正楷体_GBK"/>
          <w:sz w:val="32"/>
          <w:szCs w:val="32"/>
          <w:highlight w:val="none"/>
        </w:rPr>
      </w:pPr>
      <w:bookmarkStart w:id="5" w:name="_Toc22631713"/>
      <w:r>
        <w:rPr>
          <w:rFonts w:ascii="方正楷体_GBK" w:hAnsi="方正楷体_GBK"/>
          <w:sz w:val="32"/>
          <w:szCs w:val="32"/>
          <w:highlight w:val="none"/>
        </w:rPr>
        <w:t>第三节 电力用户</w:t>
      </w:r>
      <w:bookmarkEnd w:id="5"/>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电力用户应当披露的公众信息包括：</w:t>
      </w:r>
    </w:p>
    <w:p>
      <w:pPr>
        <w:pStyle w:val="18"/>
        <w:numPr>
          <w:ilvl w:val="0"/>
          <w:numId w:val="9"/>
        </w:numPr>
        <w:spacing w:line="560" w:lineRule="exact"/>
        <w:ind w:firstLine="600"/>
        <w:rPr>
          <w:rFonts w:eastAsia="方正仿宋_GBK"/>
          <w:sz w:val="32"/>
          <w:highlight w:val="none"/>
        </w:rPr>
      </w:pPr>
      <w:r>
        <w:rPr>
          <w:rFonts w:eastAsia="方正仿宋_GBK"/>
          <w:sz w:val="32"/>
          <w:highlight w:val="none"/>
        </w:rPr>
        <w:t>企业全称、企业性质、行业分类、用户类别、工商注册时间、统一社会信用代码、法定代表人、联系方式、</w:t>
      </w:r>
      <w:r>
        <w:rPr>
          <w:rFonts w:hint="eastAsia" w:eastAsia="方正仿宋_GBK"/>
          <w:sz w:val="32"/>
          <w:highlight w:val="none"/>
          <w:lang w:val="en-US"/>
        </w:rPr>
        <w:t>经营范围</w:t>
      </w:r>
      <w:r>
        <w:rPr>
          <w:rFonts w:eastAsia="方正仿宋_GBK"/>
          <w:sz w:val="32"/>
          <w:highlight w:val="none"/>
        </w:rPr>
        <w:t>、所属行业等。</w:t>
      </w:r>
    </w:p>
    <w:p>
      <w:pPr>
        <w:pStyle w:val="18"/>
        <w:numPr>
          <w:ilvl w:val="0"/>
          <w:numId w:val="9"/>
        </w:numPr>
        <w:spacing w:line="560" w:lineRule="exact"/>
        <w:ind w:firstLine="600"/>
        <w:rPr>
          <w:rFonts w:eastAsia="方正仿宋_GBK"/>
          <w:sz w:val="32"/>
          <w:highlight w:val="none"/>
        </w:rPr>
      </w:pPr>
      <w:r>
        <w:rPr>
          <w:rFonts w:eastAsia="方正仿宋_GBK"/>
          <w:sz w:val="32"/>
          <w:highlight w:val="none"/>
        </w:rPr>
        <w:t>企业变更情况，包括</w:t>
      </w:r>
      <w:r>
        <w:rPr>
          <w:rFonts w:eastAsia="方正仿宋_GBK"/>
          <w:sz w:val="32"/>
          <w:highlight w:val="none"/>
          <w:lang w:val="en-US"/>
        </w:rPr>
        <w:t>企业更名或法定代表人变更，</w:t>
      </w:r>
      <w:r>
        <w:rPr>
          <w:rFonts w:eastAsia="方正仿宋_GBK"/>
          <w:sz w:val="32"/>
          <w:highlight w:val="none"/>
        </w:rPr>
        <w:t>企业</w:t>
      </w:r>
      <w:r>
        <w:rPr>
          <w:rFonts w:eastAsia="方正仿宋_GBK"/>
          <w:sz w:val="32"/>
          <w:highlight w:val="none"/>
          <w:lang w:val="en-US"/>
        </w:rPr>
        <w:t>增</w:t>
      </w:r>
      <w:r>
        <w:rPr>
          <w:rFonts w:eastAsia="方正仿宋_GBK"/>
          <w:sz w:val="32"/>
          <w:highlight w:val="none"/>
        </w:rPr>
        <w:t>减资、合并、分立、解散及申请破产的决定，依法进入破产程序、被责令关闭等重大经营信息。</w:t>
      </w:r>
    </w:p>
    <w:p>
      <w:pPr>
        <w:pStyle w:val="18"/>
        <w:numPr>
          <w:ilvl w:val="0"/>
          <w:numId w:val="9"/>
        </w:numPr>
        <w:spacing w:line="560" w:lineRule="exact"/>
        <w:ind w:firstLine="600"/>
        <w:rPr>
          <w:rFonts w:eastAsia="方正仿宋_GBK"/>
          <w:sz w:val="32"/>
          <w:highlight w:val="none"/>
        </w:rPr>
      </w:pPr>
      <w:r>
        <w:rPr>
          <w:rFonts w:eastAsia="方正仿宋_GBK"/>
          <w:sz w:val="32"/>
          <w:highlight w:val="none"/>
        </w:rPr>
        <w:t>与其他市场</w:t>
      </w:r>
      <w:r>
        <w:rPr>
          <w:rFonts w:hint="eastAsia" w:eastAsia="方正仿宋_GBK"/>
          <w:sz w:val="32"/>
          <w:highlight w:val="none"/>
          <w:lang w:eastAsia="zh-CN"/>
        </w:rPr>
        <w:t>经营</w:t>
      </w:r>
      <w:r>
        <w:rPr>
          <w:rFonts w:eastAsia="方正仿宋_GBK"/>
          <w:sz w:val="32"/>
          <w:highlight w:val="none"/>
        </w:rPr>
        <w:t>主体之间的</w:t>
      </w:r>
      <w:r>
        <w:rPr>
          <w:rFonts w:hint="eastAsia" w:eastAsia="方正仿宋_GBK"/>
          <w:sz w:val="32"/>
          <w:highlight w:val="none"/>
          <w:lang w:val="en-US" w:eastAsia="zh-CN"/>
        </w:rPr>
        <w:t>股权</w:t>
      </w:r>
      <w:r>
        <w:rPr>
          <w:rFonts w:eastAsia="方正仿宋_GBK"/>
          <w:sz w:val="32"/>
          <w:highlight w:val="none"/>
        </w:rPr>
        <w:t>关联关系信息。</w:t>
      </w:r>
    </w:p>
    <w:p>
      <w:pPr>
        <w:pStyle w:val="18"/>
        <w:numPr>
          <w:ilvl w:val="0"/>
          <w:numId w:val="9"/>
        </w:numPr>
        <w:spacing w:line="560" w:lineRule="exact"/>
        <w:ind w:firstLine="600"/>
        <w:textAlignment w:val="auto"/>
        <w:rPr>
          <w:rFonts w:eastAsia="方正仿宋_GBK"/>
          <w:sz w:val="32"/>
          <w:highlight w:val="none"/>
        </w:rPr>
      </w:pPr>
      <w:r>
        <w:rPr>
          <w:rFonts w:eastAsia="方正仿宋_GBK"/>
          <w:sz w:val="32"/>
          <w:highlight w:val="none"/>
        </w:rPr>
        <w:t>其他政策法规要求向社会公众</w:t>
      </w:r>
      <w:r>
        <w:rPr>
          <w:rFonts w:eastAsia="方正仿宋_GBK"/>
          <w:sz w:val="32"/>
          <w:highlight w:val="none"/>
          <w:lang w:val="en-US"/>
        </w:rPr>
        <w:t>披露</w:t>
      </w:r>
      <w:r>
        <w:rPr>
          <w:rFonts w:eastAsia="方正仿宋_GBK"/>
          <w:sz w:val="32"/>
          <w:highlight w:val="none"/>
        </w:rPr>
        <w:t>的信息。</w:t>
      </w:r>
    </w:p>
    <w:p>
      <w:pPr>
        <w:pStyle w:val="16"/>
        <w:numPr>
          <w:ilvl w:val="0"/>
          <w:numId w:val="2"/>
        </w:numPr>
        <w:spacing w:line="560" w:lineRule="exact"/>
        <w:rPr>
          <w:rFonts w:eastAsia="方正仿宋_GBK"/>
          <w:sz w:val="32"/>
          <w:szCs w:val="32"/>
          <w:highlight w:val="none"/>
        </w:rPr>
      </w:pPr>
      <w:r>
        <w:rPr>
          <w:rFonts w:eastAsia="方正仿宋_GBK"/>
          <w:sz w:val="32"/>
          <w:szCs w:val="32"/>
          <w:highlight w:val="none"/>
        </w:rPr>
        <w:t>电力用户应当披露的公开信息包括：</w:t>
      </w:r>
    </w:p>
    <w:p>
      <w:pPr>
        <w:pStyle w:val="18"/>
        <w:numPr>
          <w:ilvl w:val="0"/>
          <w:numId w:val="10"/>
        </w:numPr>
        <w:spacing w:line="560" w:lineRule="exact"/>
        <w:ind w:firstLine="600"/>
        <w:rPr>
          <w:rFonts w:eastAsia="方正仿宋_GBK"/>
          <w:sz w:val="32"/>
          <w:highlight w:val="none"/>
          <w:lang w:val="en-US"/>
        </w:rPr>
      </w:pPr>
      <w:r>
        <w:rPr>
          <w:rFonts w:eastAsia="方正仿宋_GBK"/>
          <w:sz w:val="32"/>
          <w:highlight w:val="none"/>
          <w:lang w:val="en-US"/>
        </w:rPr>
        <w:t>企业用电类别、接入地</w:t>
      </w:r>
      <w:r>
        <w:rPr>
          <w:rFonts w:hint="eastAsia" w:eastAsia="方正仿宋_GBK"/>
          <w:sz w:val="32"/>
          <w:highlight w:val="none"/>
          <w:lang w:val="en-US" w:eastAsia="zh-CN"/>
        </w:rPr>
        <w:t>市</w:t>
      </w:r>
      <w:r>
        <w:rPr>
          <w:rFonts w:eastAsia="方正仿宋_GBK"/>
          <w:sz w:val="32"/>
          <w:highlight w:val="none"/>
          <w:lang w:val="en-US"/>
        </w:rPr>
        <w:t>、用电电压等级、自备电源（如有）、变压器报装容量以及最大需量等。</w:t>
      </w:r>
    </w:p>
    <w:p>
      <w:pPr>
        <w:pStyle w:val="18"/>
        <w:numPr>
          <w:ilvl w:val="0"/>
          <w:numId w:val="10"/>
        </w:numPr>
        <w:spacing w:line="560" w:lineRule="exact"/>
        <w:ind w:firstLine="600"/>
        <w:rPr>
          <w:rFonts w:eastAsia="方正仿宋_GBK"/>
          <w:sz w:val="32"/>
          <w:highlight w:val="none"/>
          <w:lang w:val="en-US"/>
        </w:rPr>
      </w:pPr>
      <w:r>
        <w:rPr>
          <w:rFonts w:eastAsia="方正仿宋_GBK"/>
          <w:sz w:val="32"/>
          <w:highlight w:val="none"/>
          <w:lang w:val="en-US"/>
        </w:rPr>
        <w:t>配建储能信息（如有）。</w:t>
      </w:r>
    </w:p>
    <w:p>
      <w:pPr>
        <w:pStyle w:val="16"/>
        <w:numPr>
          <w:ilvl w:val="0"/>
          <w:numId w:val="2"/>
        </w:numPr>
        <w:spacing w:line="560" w:lineRule="exact"/>
        <w:ind w:firstLine="600"/>
        <w:rPr>
          <w:rFonts w:eastAsia="方正仿宋_GBK"/>
          <w:sz w:val="32"/>
          <w:szCs w:val="32"/>
          <w:highlight w:val="none"/>
        </w:rPr>
      </w:pPr>
      <w:r>
        <w:rPr>
          <w:rFonts w:eastAsia="方正仿宋_GBK"/>
          <w:sz w:val="32"/>
          <w:szCs w:val="32"/>
          <w:highlight w:val="none"/>
        </w:rPr>
        <w:t>电力用户应当向特定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p>
    <w:p>
      <w:pPr>
        <w:pStyle w:val="18"/>
        <w:numPr>
          <w:ilvl w:val="0"/>
          <w:numId w:val="11"/>
        </w:numPr>
        <w:spacing w:line="560" w:lineRule="exact"/>
        <w:ind w:firstLine="600"/>
        <w:rPr>
          <w:rFonts w:eastAsia="方正仿宋_GBK"/>
          <w:sz w:val="32"/>
          <w:highlight w:val="none"/>
        </w:rPr>
      </w:pPr>
      <w:r>
        <w:rPr>
          <w:rFonts w:hint="eastAsia" w:eastAsia="方正仿宋_GBK"/>
          <w:sz w:val="32"/>
          <w:highlight w:val="none"/>
          <w:lang w:val="en-US"/>
        </w:rPr>
        <w:t>市场交易申报信息。</w:t>
      </w:r>
    </w:p>
    <w:p>
      <w:pPr>
        <w:pStyle w:val="18"/>
        <w:numPr>
          <w:ilvl w:val="0"/>
          <w:numId w:val="11"/>
        </w:numPr>
        <w:spacing w:line="560" w:lineRule="exact"/>
        <w:ind w:firstLine="600"/>
        <w:rPr>
          <w:rFonts w:eastAsia="方正仿宋_GBK"/>
          <w:sz w:val="32"/>
          <w:highlight w:val="none"/>
        </w:rPr>
      </w:pPr>
      <w:r>
        <w:rPr>
          <w:rFonts w:hint="eastAsia" w:eastAsia="方正仿宋_GBK"/>
          <w:sz w:val="32"/>
          <w:highlight w:val="none"/>
          <w:lang w:val="en-US"/>
        </w:rPr>
        <w:t>与</w:t>
      </w:r>
      <w:r>
        <w:rPr>
          <w:rFonts w:hint="eastAsia" w:eastAsia="方正仿宋_GBK"/>
          <w:sz w:val="32"/>
          <w:highlight w:val="none"/>
          <w:lang w:val="en-US" w:eastAsia="zh-CN"/>
        </w:rPr>
        <w:t>发电企业、</w:t>
      </w:r>
      <w:r>
        <w:rPr>
          <w:rFonts w:hint="eastAsia" w:eastAsia="方正仿宋_GBK"/>
          <w:sz w:val="32"/>
          <w:highlight w:val="none"/>
          <w:lang w:val="en-US"/>
        </w:rPr>
        <w:t>售电公司签订的购售电合同信息或协议信息</w:t>
      </w:r>
      <w:r>
        <w:rPr>
          <w:rFonts w:hint="eastAsia" w:eastAsia="方正仿宋_GBK"/>
          <w:sz w:val="32"/>
          <w:highlight w:val="none"/>
        </w:rPr>
        <w:t>。</w:t>
      </w:r>
    </w:p>
    <w:p>
      <w:pPr>
        <w:pStyle w:val="18"/>
        <w:numPr>
          <w:ilvl w:val="0"/>
          <w:numId w:val="11"/>
        </w:numPr>
        <w:spacing w:line="560" w:lineRule="exact"/>
        <w:ind w:firstLine="600"/>
        <w:rPr>
          <w:rFonts w:eastAsia="方正仿宋_GBK"/>
          <w:sz w:val="32"/>
          <w:highlight w:val="none"/>
        </w:rPr>
      </w:pPr>
      <w:r>
        <w:rPr>
          <w:rFonts w:hint="eastAsia" w:eastAsia="方正仿宋_GBK"/>
          <w:sz w:val="32"/>
          <w:highlight w:val="none"/>
          <w:lang w:val="en-US"/>
        </w:rPr>
        <w:t>企业</w:t>
      </w:r>
      <w:r>
        <w:rPr>
          <w:rFonts w:eastAsia="方正仿宋_GBK"/>
          <w:sz w:val="32"/>
          <w:highlight w:val="none"/>
        </w:rPr>
        <w:t>用电信息，包括用电户号、用电户名、结算户号、</w:t>
      </w:r>
      <w:r>
        <w:rPr>
          <w:rFonts w:hint="eastAsia" w:eastAsia="方正仿宋_GBK"/>
          <w:sz w:val="32"/>
          <w:highlight w:val="none"/>
          <w:lang w:val="en-US" w:eastAsia="zh-CN"/>
        </w:rPr>
        <w:t>用</w:t>
      </w:r>
      <w:r>
        <w:rPr>
          <w:rFonts w:eastAsia="方正仿宋_GBK"/>
          <w:sz w:val="32"/>
          <w:highlight w:val="none"/>
        </w:rPr>
        <w:t>电量</w:t>
      </w:r>
      <w:r>
        <w:rPr>
          <w:rFonts w:hint="eastAsia" w:eastAsia="方正仿宋_GBK"/>
          <w:sz w:val="32"/>
          <w:highlight w:val="none"/>
          <w:lang w:val="en-US" w:eastAsia="zh-CN"/>
        </w:rPr>
        <w:t>及</w:t>
      </w:r>
      <w:r>
        <w:rPr>
          <w:rFonts w:eastAsia="方正仿宋_GBK"/>
          <w:sz w:val="32"/>
          <w:highlight w:val="none"/>
        </w:rPr>
        <w:t>分时用电数据、计量点信息等。</w:t>
      </w:r>
    </w:p>
    <w:p>
      <w:pPr>
        <w:pStyle w:val="18"/>
        <w:numPr>
          <w:ilvl w:val="0"/>
          <w:numId w:val="11"/>
        </w:numPr>
        <w:spacing w:line="560" w:lineRule="exact"/>
        <w:ind w:firstLine="600"/>
        <w:rPr>
          <w:rFonts w:eastAsia="方正仿宋_GBK"/>
          <w:sz w:val="32"/>
          <w:highlight w:val="none"/>
        </w:rPr>
      </w:pPr>
      <w:r>
        <w:rPr>
          <w:rFonts w:eastAsia="方正仿宋_GBK"/>
          <w:sz w:val="32"/>
          <w:highlight w:val="none"/>
        </w:rPr>
        <w:t>可参与系统调节的响应能力和响应方式等。</w:t>
      </w:r>
    </w:p>
    <w:p>
      <w:pPr>
        <w:pStyle w:val="18"/>
        <w:numPr>
          <w:ilvl w:val="0"/>
          <w:numId w:val="11"/>
        </w:numPr>
        <w:spacing w:line="560" w:lineRule="exact"/>
        <w:ind w:firstLine="600"/>
        <w:rPr>
          <w:rFonts w:eastAsia="方正仿宋_GBK"/>
          <w:sz w:val="32"/>
          <w:highlight w:val="none"/>
        </w:rPr>
      </w:pPr>
      <w:r>
        <w:rPr>
          <w:rFonts w:hint="eastAsia" w:ascii="方正仿宋_GBK" w:hAnsi="方正仿宋_GBK" w:eastAsia="方正仿宋_GBK" w:cs="方正仿宋_GBK"/>
          <w:b w:val="0"/>
          <w:bCs w:val="0"/>
          <w:sz w:val="32"/>
          <w:szCs w:val="32"/>
          <w:highlight w:val="none"/>
          <w:lang w:eastAsia="zh-CN"/>
        </w:rPr>
        <w:t>用电需求信息，包括月度、季度、年度的用电需求安排</w:t>
      </w:r>
      <w:r>
        <w:rPr>
          <w:rFonts w:hint="eastAsia" w:ascii="方正仿宋_GBK" w:hAnsi="方正仿宋_GBK" w:eastAsia="方正仿宋_GBK" w:cs="方正仿宋_GBK"/>
          <w:b w:val="0"/>
          <w:bCs w:val="0"/>
          <w:sz w:val="32"/>
          <w:szCs w:val="32"/>
          <w:highlight w:val="none"/>
        </w:rPr>
        <w:t>。</w:t>
      </w:r>
    </w:p>
    <w:p>
      <w:pPr>
        <w:pStyle w:val="18"/>
        <w:numPr>
          <w:ilvl w:val="0"/>
          <w:numId w:val="11"/>
        </w:numPr>
        <w:spacing w:line="560" w:lineRule="exact"/>
        <w:ind w:firstLine="600"/>
        <w:rPr>
          <w:rFonts w:eastAsia="方正仿宋_GBK"/>
          <w:sz w:val="32"/>
          <w:highlight w:val="none"/>
        </w:rPr>
      </w:pPr>
      <w:r>
        <w:rPr>
          <w:rFonts w:hint="eastAsia" w:ascii="方正仿宋_GBK" w:hAnsi="方正仿宋_GBK" w:eastAsia="方正仿宋_GBK" w:cs="方正仿宋_GBK"/>
          <w:sz w:val="32"/>
          <w:highlight w:val="none"/>
        </w:rPr>
        <w:t>大型电力用户计划检修信息</w:t>
      </w:r>
      <w:r>
        <w:rPr>
          <w:rFonts w:hint="eastAsia" w:ascii="方正仿宋_GBK" w:hAnsi="方正仿宋_GBK" w:eastAsia="方正仿宋_GBK" w:cs="方正仿宋_GBK"/>
          <w:sz w:val="32"/>
          <w:highlight w:val="none"/>
          <w:lang w:eastAsia="zh-CN"/>
        </w:rPr>
        <w:t>。</w:t>
      </w:r>
    </w:p>
    <w:p>
      <w:pPr>
        <w:pStyle w:val="17"/>
        <w:spacing w:before="0" w:beforeLines="0" w:line="560" w:lineRule="exact"/>
        <w:ind w:left="0" w:firstLine="0"/>
        <w:textAlignment w:val="auto"/>
        <w:rPr>
          <w:rFonts w:ascii="方正楷体_GBK" w:hAnsi="方正楷体_GBK"/>
          <w:sz w:val="32"/>
          <w:szCs w:val="32"/>
          <w:highlight w:val="none"/>
        </w:rPr>
      </w:pPr>
      <w:bookmarkStart w:id="6" w:name="_Toc22631714"/>
      <w:r>
        <w:rPr>
          <w:rFonts w:ascii="方正楷体_GBK" w:hAnsi="方正楷体_GBK"/>
          <w:sz w:val="32"/>
          <w:szCs w:val="32"/>
          <w:highlight w:val="none"/>
        </w:rPr>
        <w:t>第四节 新型</w:t>
      </w:r>
      <w:r>
        <w:rPr>
          <w:rFonts w:hint="eastAsia" w:ascii="方正楷体_GBK" w:hAnsi="方正楷体_GBK"/>
          <w:sz w:val="32"/>
          <w:szCs w:val="32"/>
          <w:highlight w:val="none"/>
          <w:lang w:eastAsia="zh-CN"/>
        </w:rPr>
        <w:t>经营</w:t>
      </w:r>
      <w:r>
        <w:rPr>
          <w:rFonts w:ascii="方正楷体_GBK" w:hAnsi="方正楷体_GBK"/>
          <w:sz w:val="32"/>
          <w:szCs w:val="32"/>
          <w:highlight w:val="none"/>
        </w:rPr>
        <w:t>主体</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独立储能</w:t>
      </w:r>
      <w:r>
        <w:rPr>
          <w:rFonts w:eastAsia="方正仿宋_GBK"/>
          <w:sz w:val="32"/>
          <w:szCs w:val="32"/>
          <w:highlight w:val="none"/>
        </w:rPr>
        <w:t>应当披露的公众信息包括：</w:t>
      </w:r>
    </w:p>
    <w:p>
      <w:pPr>
        <w:pStyle w:val="18"/>
        <w:numPr>
          <w:ilvl w:val="0"/>
          <w:numId w:val="12"/>
        </w:numPr>
        <w:spacing w:line="560" w:lineRule="exact"/>
        <w:ind w:firstLine="600"/>
        <w:jc w:val="both"/>
        <w:rPr>
          <w:rFonts w:eastAsia="方正仿宋_GBK"/>
          <w:sz w:val="32"/>
          <w:highlight w:val="none"/>
        </w:rPr>
      </w:pPr>
      <w:r>
        <w:rPr>
          <w:rFonts w:eastAsia="方正仿宋_GBK"/>
          <w:sz w:val="32"/>
          <w:highlight w:val="none"/>
        </w:rPr>
        <w:t>企业全称、企业性质、</w:t>
      </w:r>
      <w:r>
        <w:rPr>
          <w:rFonts w:hint="eastAsia" w:eastAsia="方正仿宋_GBK"/>
          <w:sz w:val="32"/>
          <w:highlight w:val="none"/>
          <w:lang w:val="en-US"/>
        </w:rPr>
        <w:t>额定容量、</w:t>
      </w:r>
      <w:r>
        <w:rPr>
          <w:rFonts w:eastAsia="方正仿宋_GBK"/>
          <w:sz w:val="32"/>
          <w:highlight w:val="none"/>
        </w:rPr>
        <w:t>工商注册时间、统一社会信用代码、股权结构</w:t>
      </w:r>
      <w:r>
        <w:rPr>
          <w:rFonts w:hint="eastAsia" w:eastAsia="方正仿宋_GBK"/>
          <w:sz w:val="32"/>
          <w:highlight w:val="none"/>
        </w:rPr>
        <w:t>、</w:t>
      </w:r>
      <w:r>
        <w:rPr>
          <w:rFonts w:eastAsia="方正仿宋_GBK"/>
          <w:sz w:val="32"/>
          <w:highlight w:val="none"/>
          <w:lang w:val="en-US"/>
        </w:rPr>
        <w:t>经营范围</w:t>
      </w:r>
      <w:r>
        <w:rPr>
          <w:rFonts w:hint="eastAsia" w:eastAsia="方正仿宋_GBK"/>
          <w:sz w:val="32"/>
          <w:highlight w:val="none"/>
          <w:lang w:val="en-US"/>
        </w:rPr>
        <w:t>、</w:t>
      </w:r>
      <w:r>
        <w:rPr>
          <w:rFonts w:eastAsia="方正仿宋_GBK"/>
          <w:sz w:val="32"/>
          <w:highlight w:val="none"/>
        </w:rPr>
        <w:t>法定代表人、联系方式等。</w:t>
      </w:r>
    </w:p>
    <w:p>
      <w:pPr>
        <w:pStyle w:val="18"/>
        <w:numPr>
          <w:ilvl w:val="0"/>
          <w:numId w:val="12"/>
        </w:numPr>
        <w:spacing w:line="560" w:lineRule="exact"/>
        <w:ind w:firstLine="600"/>
        <w:jc w:val="both"/>
        <w:rPr>
          <w:rFonts w:eastAsia="方正仿宋_GBK"/>
          <w:sz w:val="32"/>
          <w:highlight w:val="none"/>
        </w:rPr>
      </w:pPr>
      <w:r>
        <w:rPr>
          <w:rFonts w:eastAsia="方正仿宋_GBK"/>
          <w:sz w:val="32"/>
          <w:highlight w:val="none"/>
        </w:rPr>
        <w:t>企业变更情况，包括</w:t>
      </w:r>
      <w:r>
        <w:rPr>
          <w:rFonts w:eastAsia="方正仿宋_GBK"/>
          <w:sz w:val="32"/>
          <w:highlight w:val="none"/>
          <w:lang w:val="en-US"/>
        </w:rPr>
        <w:t>企业更名或法定代表人变更；</w:t>
      </w:r>
      <w:r>
        <w:rPr>
          <w:rFonts w:eastAsia="方正仿宋_GBK"/>
          <w:sz w:val="32"/>
          <w:highlight w:val="none"/>
        </w:rPr>
        <w:t>企业</w:t>
      </w:r>
      <w:r>
        <w:rPr>
          <w:rFonts w:hint="eastAsia" w:eastAsia="方正仿宋_GBK"/>
          <w:sz w:val="32"/>
          <w:highlight w:val="none"/>
          <w:lang w:val="en-US"/>
        </w:rPr>
        <w:t>增</w:t>
      </w:r>
      <w:r>
        <w:rPr>
          <w:rFonts w:eastAsia="方正仿宋_GBK"/>
          <w:sz w:val="32"/>
          <w:highlight w:val="none"/>
        </w:rPr>
        <w:t>减资、合并、分立、解散及申请破产的决定；依法进入破产程序、被责令关闭等重大经营信息。</w:t>
      </w:r>
    </w:p>
    <w:p>
      <w:pPr>
        <w:pStyle w:val="18"/>
        <w:numPr>
          <w:ilvl w:val="0"/>
          <w:numId w:val="12"/>
        </w:numPr>
        <w:spacing w:line="560" w:lineRule="exact"/>
        <w:ind w:firstLine="600"/>
        <w:rPr>
          <w:rFonts w:eastAsia="方正仿宋_GBK"/>
          <w:sz w:val="32"/>
          <w:highlight w:val="none"/>
        </w:rPr>
      </w:pPr>
      <w:r>
        <w:rPr>
          <w:rFonts w:eastAsia="方正仿宋_GBK"/>
          <w:sz w:val="32"/>
          <w:highlight w:val="none"/>
        </w:rPr>
        <w:t>与其他市场</w:t>
      </w:r>
      <w:r>
        <w:rPr>
          <w:rFonts w:hint="eastAsia" w:eastAsia="方正仿宋_GBK"/>
          <w:sz w:val="32"/>
          <w:highlight w:val="none"/>
          <w:lang w:eastAsia="zh-CN"/>
        </w:rPr>
        <w:t>经营</w:t>
      </w:r>
      <w:r>
        <w:rPr>
          <w:rFonts w:eastAsia="方正仿宋_GBK"/>
          <w:sz w:val="32"/>
          <w:highlight w:val="none"/>
        </w:rPr>
        <w:t>主体之间的</w:t>
      </w:r>
      <w:r>
        <w:rPr>
          <w:rFonts w:hint="eastAsia" w:eastAsia="方正仿宋_GBK"/>
          <w:sz w:val="32"/>
          <w:highlight w:val="none"/>
          <w:lang w:val="en-US" w:eastAsia="zh-CN"/>
        </w:rPr>
        <w:t>股权</w:t>
      </w:r>
      <w:r>
        <w:rPr>
          <w:rFonts w:eastAsia="方正仿宋_GBK"/>
          <w:sz w:val="32"/>
          <w:highlight w:val="none"/>
        </w:rPr>
        <w:t>关联关系信息。</w:t>
      </w:r>
    </w:p>
    <w:p>
      <w:pPr>
        <w:pStyle w:val="18"/>
        <w:numPr>
          <w:ilvl w:val="0"/>
          <w:numId w:val="12"/>
        </w:numPr>
        <w:spacing w:line="560" w:lineRule="exact"/>
        <w:ind w:firstLine="600"/>
        <w:jc w:val="both"/>
        <w:textAlignment w:val="auto"/>
        <w:rPr>
          <w:rFonts w:eastAsia="方正仿宋_GBK"/>
          <w:sz w:val="32"/>
          <w:highlight w:val="none"/>
        </w:rPr>
      </w:pPr>
      <w:r>
        <w:rPr>
          <w:rFonts w:eastAsia="方正仿宋_GBK"/>
          <w:sz w:val="32"/>
          <w:highlight w:val="none"/>
        </w:rPr>
        <w:t>其他政策法规要求向社会公众</w:t>
      </w:r>
      <w:r>
        <w:rPr>
          <w:rFonts w:hint="eastAsia" w:eastAsia="方正仿宋_GBK"/>
          <w:sz w:val="32"/>
          <w:highlight w:val="none"/>
          <w:lang w:val="en-US"/>
        </w:rPr>
        <w:t>披露</w:t>
      </w:r>
      <w:r>
        <w:rPr>
          <w:rFonts w:eastAsia="方正仿宋_GBK"/>
          <w:sz w:val="32"/>
          <w:highlight w:val="none"/>
        </w:rPr>
        <w:t>的信息。</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val="en-US" w:eastAsia="zh-CN"/>
        </w:rPr>
        <w:t>独立</w:t>
      </w:r>
      <w:r>
        <w:rPr>
          <w:rFonts w:hint="eastAsia" w:eastAsia="方正仿宋_GBK"/>
          <w:sz w:val="32"/>
          <w:szCs w:val="32"/>
          <w:highlight w:val="none"/>
        </w:rPr>
        <w:t>储能</w:t>
      </w:r>
      <w:r>
        <w:rPr>
          <w:rFonts w:eastAsia="方正仿宋_GBK"/>
          <w:sz w:val="32"/>
          <w:szCs w:val="32"/>
          <w:highlight w:val="none"/>
        </w:rPr>
        <w:t>应当披露的公开信息包括：</w:t>
      </w:r>
    </w:p>
    <w:p>
      <w:pPr>
        <w:pStyle w:val="18"/>
        <w:numPr>
          <w:ilvl w:val="0"/>
          <w:numId w:val="13"/>
        </w:numPr>
        <w:spacing w:line="560" w:lineRule="exact"/>
        <w:ind w:firstLine="600"/>
        <w:rPr>
          <w:rFonts w:hint="eastAsia" w:ascii="Times New Roman" w:hAnsi="Times New Roman" w:eastAsia="方正仿宋_GBK" w:cs="Times New Roman"/>
          <w:sz w:val="32"/>
          <w:highlight w:val="none"/>
          <w:lang w:val="en-US"/>
        </w:rPr>
      </w:pPr>
      <w:r>
        <w:rPr>
          <w:rFonts w:hint="eastAsia" w:ascii="Times New Roman" w:hAnsi="Times New Roman" w:eastAsia="方正仿宋_GBK" w:cs="Times New Roman"/>
          <w:sz w:val="32"/>
          <w:highlight w:val="none"/>
          <w:lang w:val="en-US"/>
        </w:rPr>
        <w:t>调度名称、调度管辖关系、投运日期、接入电压等级、机组技术类型（电化学、压缩空气等）</w:t>
      </w:r>
      <w:r>
        <w:rPr>
          <w:rFonts w:hint="eastAsia" w:ascii="Times New Roman" w:hAnsi="Times New Roman" w:eastAsia="方正仿宋_GBK" w:cs="Times New Roman"/>
          <w:sz w:val="32"/>
          <w:highlight w:val="none"/>
          <w:lang w:val="en-US" w:eastAsia="zh-CN"/>
        </w:rPr>
        <w:t>、</w:t>
      </w:r>
      <w:r>
        <w:rPr>
          <w:rFonts w:hint="eastAsia" w:ascii="Times New Roman" w:hAnsi="Times New Roman" w:eastAsia="方正仿宋_GBK" w:cs="Times New Roman"/>
          <w:sz w:val="32"/>
          <w:highlight w:val="none"/>
          <w:lang w:val="en-US"/>
        </w:rPr>
        <w:t>所在地</w:t>
      </w:r>
      <w:r>
        <w:rPr>
          <w:rFonts w:hint="eastAsia" w:ascii="Times New Roman" w:hAnsi="Times New Roman" w:eastAsia="方正仿宋_GBK" w:cs="Times New Roman"/>
          <w:sz w:val="32"/>
          <w:highlight w:val="none"/>
          <w:lang w:val="en-US" w:eastAsia="zh-CN"/>
        </w:rPr>
        <w:t>市。</w:t>
      </w:r>
    </w:p>
    <w:p>
      <w:pPr>
        <w:pStyle w:val="18"/>
        <w:numPr>
          <w:ilvl w:val="0"/>
          <w:numId w:val="13"/>
        </w:numPr>
        <w:spacing w:line="560" w:lineRule="exact"/>
        <w:ind w:firstLine="600"/>
        <w:rPr>
          <w:rFonts w:hint="eastAsia" w:ascii="Times New Roman" w:hAnsi="Times New Roman" w:eastAsia="方正仿宋_GBK" w:cs="Times New Roman"/>
          <w:sz w:val="32"/>
          <w:highlight w:val="none"/>
          <w:lang w:val="en-US"/>
        </w:rPr>
      </w:pPr>
      <w:r>
        <w:rPr>
          <w:rFonts w:hint="eastAsia" w:ascii="Times New Roman" w:hAnsi="Times New Roman" w:eastAsia="方正仿宋_GBK" w:cs="Times New Roman"/>
          <w:sz w:val="32"/>
          <w:highlight w:val="none"/>
          <w:lang w:val="en-US"/>
        </w:rPr>
        <w:t>满足参与市场交易的相关技术参数，包括额定充（放）电功率、额定充（放）电时间、最大可调节容量、最大充放电功率、</w:t>
      </w:r>
      <w:r>
        <w:rPr>
          <w:rFonts w:hint="eastAsia" w:ascii="Times New Roman" w:hAnsi="Times New Roman" w:eastAsia="方正仿宋_GBK" w:cs="Times New Roman"/>
          <w:sz w:val="32"/>
          <w:highlight w:val="none"/>
          <w:lang w:val="en-US" w:eastAsia="zh-CN"/>
        </w:rPr>
        <w:t>最大</w:t>
      </w:r>
      <w:r>
        <w:rPr>
          <w:rFonts w:hint="eastAsia" w:ascii="Times New Roman" w:hAnsi="Times New Roman" w:eastAsia="方正仿宋_GBK" w:cs="Times New Roman"/>
          <w:sz w:val="32"/>
          <w:highlight w:val="none"/>
          <w:lang w:val="en-US"/>
        </w:rPr>
        <w:t>持续充放电时间等。</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val="en-US" w:eastAsia="zh-CN"/>
        </w:rPr>
        <w:t>独立</w:t>
      </w:r>
      <w:r>
        <w:rPr>
          <w:rFonts w:hint="eastAsia" w:eastAsia="方正仿宋_GBK"/>
          <w:sz w:val="32"/>
          <w:szCs w:val="32"/>
          <w:highlight w:val="none"/>
        </w:rPr>
        <w:t>储能</w:t>
      </w:r>
      <w:r>
        <w:rPr>
          <w:rFonts w:eastAsia="方正仿宋_GBK"/>
          <w:sz w:val="32"/>
          <w:szCs w:val="32"/>
          <w:highlight w:val="none"/>
        </w:rPr>
        <w:t>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p>
    <w:p>
      <w:pPr>
        <w:pStyle w:val="18"/>
        <w:numPr>
          <w:ilvl w:val="0"/>
          <w:numId w:val="14"/>
        </w:numPr>
        <w:spacing w:line="560" w:lineRule="exact"/>
        <w:ind w:firstLine="600"/>
        <w:rPr>
          <w:rFonts w:eastAsia="方正仿宋_GBK"/>
          <w:sz w:val="32"/>
          <w:highlight w:val="none"/>
        </w:rPr>
      </w:pPr>
      <w:r>
        <w:rPr>
          <w:rFonts w:hint="eastAsia" w:eastAsia="方正仿宋_GBK"/>
          <w:sz w:val="32"/>
          <w:highlight w:val="none"/>
          <w:lang w:val="en-US"/>
        </w:rPr>
        <w:t>市场交易申报信息、合同信息</w:t>
      </w:r>
      <w:r>
        <w:rPr>
          <w:rFonts w:hint="eastAsia" w:eastAsia="方正仿宋_GBK"/>
          <w:sz w:val="32"/>
          <w:highlight w:val="none"/>
        </w:rPr>
        <w:t>。</w:t>
      </w:r>
    </w:p>
    <w:p>
      <w:pPr>
        <w:pStyle w:val="18"/>
        <w:numPr>
          <w:ilvl w:val="0"/>
          <w:numId w:val="14"/>
        </w:numPr>
        <w:spacing w:line="560" w:lineRule="exact"/>
        <w:ind w:firstLine="600"/>
        <w:jc w:val="both"/>
        <w:rPr>
          <w:rFonts w:eastAsia="方正仿宋_GBK"/>
          <w:sz w:val="32"/>
          <w:highlight w:val="none"/>
        </w:rPr>
      </w:pPr>
      <w:r>
        <w:rPr>
          <w:rFonts w:eastAsia="方正仿宋_GBK"/>
          <w:sz w:val="32"/>
          <w:highlight w:val="none"/>
          <w:lang w:val="en-US"/>
        </w:rPr>
        <w:t>性能参数类信息，包括提供调峰、调频、旋转备用等辅助服务的持续响应时长</w:t>
      </w:r>
      <w:r>
        <w:rPr>
          <w:rFonts w:hint="eastAsia" w:eastAsia="方正仿宋_GBK"/>
          <w:sz w:val="32"/>
          <w:highlight w:val="none"/>
          <w:lang w:val="en-US"/>
        </w:rPr>
        <w:t>，</w:t>
      </w:r>
      <w:r>
        <w:rPr>
          <w:rFonts w:eastAsia="方正仿宋_GBK"/>
          <w:sz w:val="32"/>
          <w:highlight w:val="none"/>
          <w:lang w:val="en-US"/>
        </w:rPr>
        <w:t>最大最小响应能力、</w:t>
      </w:r>
      <w:r>
        <w:rPr>
          <w:rFonts w:hint="eastAsia" w:eastAsia="方正仿宋_GBK"/>
          <w:sz w:val="32"/>
          <w:highlight w:val="none"/>
          <w:lang w:val="en-US"/>
        </w:rPr>
        <w:t>最大上下调节功（速）率、充放电爬坡速率</w:t>
      </w:r>
      <w:r>
        <w:rPr>
          <w:rFonts w:eastAsia="方正仿宋_GBK"/>
          <w:sz w:val="32"/>
          <w:highlight w:val="none"/>
          <w:lang w:val="en-US"/>
        </w:rPr>
        <w:t>等</w:t>
      </w:r>
      <w:r>
        <w:rPr>
          <w:rFonts w:eastAsia="方正仿宋_GBK"/>
          <w:sz w:val="32"/>
          <w:highlight w:val="none"/>
        </w:rPr>
        <w:t xml:space="preserve">。 </w:t>
      </w:r>
    </w:p>
    <w:p>
      <w:pPr>
        <w:pStyle w:val="18"/>
        <w:numPr>
          <w:ilvl w:val="0"/>
          <w:numId w:val="14"/>
        </w:numPr>
        <w:spacing w:line="560" w:lineRule="exact"/>
        <w:ind w:firstLine="600"/>
        <w:rPr>
          <w:rFonts w:eastAsia="方正仿宋_GBK"/>
          <w:sz w:val="32"/>
          <w:highlight w:val="none"/>
          <w:lang w:val="en-US"/>
        </w:rPr>
      </w:pPr>
      <w:r>
        <w:rPr>
          <w:rFonts w:hint="eastAsia" w:eastAsia="方正仿宋_GBK"/>
          <w:sz w:val="32"/>
          <w:highlight w:val="none"/>
          <w:lang w:val="en-US"/>
        </w:rPr>
        <w:t>计量</w:t>
      </w:r>
      <w:r>
        <w:rPr>
          <w:rFonts w:eastAsia="方正仿宋_GBK"/>
          <w:sz w:val="32"/>
          <w:highlight w:val="none"/>
          <w:lang w:val="en-US"/>
        </w:rPr>
        <w:t>信息，包括户名、</w:t>
      </w:r>
      <w:r>
        <w:rPr>
          <w:rFonts w:hint="eastAsia" w:eastAsia="方正仿宋_GBK"/>
          <w:sz w:val="32"/>
          <w:highlight w:val="none"/>
          <w:lang w:val="en-US"/>
        </w:rPr>
        <w:t>发电户号、用电户号</w:t>
      </w:r>
      <w:r>
        <w:rPr>
          <w:rFonts w:eastAsia="方正仿宋_GBK"/>
          <w:sz w:val="32"/>
          <w:highlight w:val="none"/>
          <w:lang w:val="en-US"/>
        </w:rPr>
        <w:t>、结算户号、计量点信息、</w:t>
      </w:r>
      <w:r>
        <w:rPr>
          <w:rFonts w:hint="eastAsia" w:eastAsia="方正仿宋_GBK"/>
          <w:sz w:val="32"/>
          <w:highlight w:val="none"/>
          <w:lang w:val="en-US" w:eastAsia="zh-CN"/>
        </w:rPr>
        <w:t>充放电</w:t>
      </w:r>
      <w:r>
        <w:rPr>
          <w:rFonts w:hint="eastAsia" w:eastAsia="方正仿宋_GBK"/>
          <w:sz w:val="32"/>
          <w:highlight w:val="none"/>
          <w:lang w:val="en-US"/>
        </w:rPr>
        <w:t>电力</w:t>
      </w:r>
      <w:r>
        <w:rPr>
          <w:rFonts w:eastAsia="方正仿宋_GBK"/>
          <w:sz w:val="32"/>
          <w:highlight w:val="none"/>
          <w:lang w:val="en-US"/>
        </w:rPr>
        <w:t>电量等信息。</w:t>
      </w:r>
    </w:p>
    <w:p>
      <w:pPr>
        <w:pStyle w:val="16"/>
        <w:numPr>
          <w:ilvl w:val="0"/>
          <w:numId w:val="2"/>
        </w:numPr>
        <w:spacing w:line="560" w:lineRule="exact"/>
        <w:ind w:firstLine="600"/>
        <w:jc w:val="both"/>
        <w:textAlignment w:val="auto"/>
        <w:rPr>
          <w:rFonts w:eastAsia="方正仿宋_GBK"/>
          <w:sz w:val="32"/>
          <w:szCs w:val="32"/>
          <w:highlight w:val="none"/>
        </w:rPr>
      </w:pPr>
      <w:r>
        <w:rPr>
          <w:rFonts w:hint="eastAsia" w:eastAsia="方正仿宋_GBK"/>
          <w:sz w:val="32"/>
          <w:szCs w:val="32"/>
          <w:highlight w:val="none"/>
          <w:lang w:val="en-US" w:eastAsia="zh-CN"/>
        </w:rPr>
        <w:t>虚拟电厂、负荷聚合商等</w:t>
      </w:r>
      <w:r>
        <w:rPr>
          <w:rFonts w:hint="eastAsia" w:eastAsia="方正仿宋_GBK"/>
          <w:sz w:val="32"/>
          <w:szCs w:val="32"/>
          <w:highlight w:val="none"/>
        </w:rPr>
        <w:t>其他新型</w:t>
      </w:r>
      <w:r>
        <w:rPr>
          <w:rFonts w:hint="eastAsia" w:eastAsia="方正仿宋_GBK"/>
          <w:sz w:val="32"/>
          <w:szCs w:val="32"/>
          <w:highlight w:val="none"/>
          <w:lang w:eastAsia="zh-CN"/>
        </w:rPr>
        <w:t>经营</w:t>
      </w:r>
      <w:r>
        <w:rPr>
          <w:rFonts w:hint="eastAsia" w:eastAsia="方正仿宋_GBK"/>
          <w:sz w:val="32"/>
          <w:szCs w:val="32"/>
          <w:highlight w:val="none"/>
        </w:rPr>
        <w:t>主体信息披露要求根据市场发展需要另行明确。</w:t>
      </w:r>
    </w:p>
    <w:p>
      <w:pPr>
        <w:pStyle w:val="17"/>
        <w:spacing w:before="0" w:beforeLines="0" w:line="560" w:lineRule="exact"/>
        <w:ind w:left="0" w:firstLine="0"/>
        <w:textAlignment w:val="auto"/>
        <w:rPr>
          <w:rFonts w:ascii="方正楷体_GBK" w:hAnsi="方正楷体_GBK"/>
          <w:sz w:val="32"/>
          <w:szCs w:val="32"/>
          <w:highlight w:val="none"/>
        </w:rPr>
      </w:pPr>
      <w:r>
        <w:rPr>
          <w:rFonts w:ascii="方正楷体_GBK" w:hAnsi="方正楷体_GBK"/>
          <w:sz w:val="32"/>
          <w:szCs w:val="32"/>
          <w:highlight w:val="none"/>
        </w:rPr>
        <w:t>第五节 电网企业</w:t>
      </w:r>
      <w:bookmarkEnd w:id="6"/>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电网企业应当披露的公众信息包括：</w:t>
      </w:r>
    </w:p>
    <w:p>
      <w:pPr>
        <w:pStyle w:val="18"/>
        <w:numPr>
          <w:ilvl w:val="0"/>
          <w:numId w:val="15"/>
        </w:numPr>
        <w:spacing w:line="560" w:lineRule="exact"/>
        <w:ind w:firstLine="600"/>
        <w:rPr>
          <w:rFonts w:eastAsia="方正仿宋_GBK"/>
          <w:sz w:val="32"/>
          <w:highlight w:val="none"/>
          <w:lang w:val="en-US"/>
        </w:rPr>
      </w:pPr>
      <w:r>
        <w:rPr>
          <w:rFonts w:hint="eastAsia" w:eastAsia="方正仿宋_GBK"/>
          <w:sz w:val="32"/>
          <w:highlight w:val="none"/>
          <w:lang w:val="en-US"/>
        </w:rPr>
        <w:t>企业全称、企业性质、工商注册时间、统一社会信用代码、法定代表人、联系方式、供电区域等。</w:t>
      </w:r>
    </w:p>
    <w:p>
      <w:pPr>
        <w:pStyle w:val="18"/>
        <w:numPr>
          <w:ilvl w:val="0"/>
          <w:numId w:val="15"/>
        </w:numPr>
        <w:spacing w:line="560" w:lineRule="exact"/>
        <w:ind w:firstLine="600"/>
        <w:rPr>
          <w:rFonts w:eastAsia="方正仿宋_GBK"/>
          <w:sz w:val="32"/>
          <w:highlight w:val="none"/>
          <w:lang w:val="en-US"/>
        </w:rPr>
      </w:pPr>
      <w:r>
        <w:rPr>
          <w:rFonts w:hint="eastAsia" w:eastAsia="方正仿宋_GBK"/>
          <w:sz w:val="32"/>
          <w:highlight w:val="none"/>
          <w:lang w:val="en-US"/>
        </w:rPr>
        <w:t>与其他市场</w:t>
      </w:r>
      <w:r>
        <w:rPr>
          <w:rFonts w:hint="eastAsia" w:eastAsia="方正仿宋_GBK"/>
          <w:sz w:val="32"/>
          <w:highlight w:val="none"/>
          <w:lang w:val="en-US" w:eastAsia="zh-CN"/>
        </w:rPr>
        <w:t>经营</w:t>
      </w:r>
      <w:r>
        <w:rPr>
          <w:rFonts w:hint="eastAsia" w:eastAsia="方正仿宋_GBK"/>
          <w:sz w:val="32"/>
          <w:highlight w:val="none"/>
          <w:lang w:val="en-US"/>
        </w:rPr>
        <w:t>主体之间的</w:t>
      </w:r>
      <w:r>
        <w:rPr>
          <w:rFonts w:hint="eastAsia" w:eastAsia="方正仿宋_GBK"/>
          <w:sz w:val="32"/>
          <w:highlight w:val="none"/>
          <w:lang w:val="en-US" w:eastAsia="zh-CN"/>
        </w:rPr>
        <w:t>股权</w:t>
      </w:r>
      <w:r>
        <w:rPr>
          <w:rFonts w:hint="eastAsia" w:eastAsia="方正仿宋_GBK"/>
          <w:sz w:val="32"/>
          <w:highlight w:val="none"/>
          <w:lang w:val="en-US"/>
        </w:rPr>
        <w:t>关联关系信息。</w:t>
      </w:r>
    </w:p>
    <w:p>
      <w:pPr>
        <w:pStyle w:val="18"/>
        <w:numPr>
          <w:ilvl w:val="0"/>
          <w:numId w:val="15"/>
        </w:numPr>
        <w:spacing w:line="560" w:lineRule="exact"/>
        <w:ind w:firstLine="600"/>
        <w:rPr>
          <w:rFonts w:eastAsia="方正仿宋_GBK"/>
          <w:sz w:val="32"/>
          <w:highlight w:val="none"/>
          <w:lang w:val="en-US"/>
        </w:rPr>
      </w:pPr>
      <w:r>
        <w:rPr>
          <w:rFonts w:hint="eastAsia" w:eastAsia="方正仿宋_GBK"/>
          <w:sz w:val="32"/>
          <w:highlight w:val="none"/>
          <w:lang w:val="en-US"/>
        </w:rPr>
        <w:t>政府定价信息，包括输配电价、</w:t>
      </w:r>
      <w:r>
        <w:rPr>
          <w:rFonts w:hint="eastAsia" w:eastAsia="方正仿宋_GBK"/>
          <w:sz w:val="32"/>
          <w:highlight w:val="none"/>
          <w:lang w:val="en-US" w:eastAsia="zh-CN"/>
        </w:rPr>
        <w:t>政府核定的输配电线损率、</w:t>
      </w:r>
      <w:r>
        <w:rPr>
          <w:rFonts w:hint="eastAsia" w:eastAsia="方正仿宋_GBK"/>
          <w:sz w:val="32"/>
          <w:highlight w:val="none"/>
          <w:lang w:val="en-US"/>
        </w:rPr>
        <w:t>各类政府性基金及其他市场相关收费标准等。</w:t>
      </w:r>
    </w:p>
    <w:p>
      <w:pPr>
        <w:pStyle w:val="18"/>
        <w:numPr>
          <w:ilvl w:val="0"/>
          <w:numId w:val="15"/>
        </w:numPr>
        <w:spacing w:line="560" w:lineRule="exact"/>
        <w:ind w:firstLine="600"/>
        <w:rPr>
          <w:rFonts w:eastAsia="方正仿宋_GBK"/>
          <w:sz w:val="32"/>
          <w:highlight w:val="none"/>
          <w:lang w:val="en-US"/>
        </w:rPr>
      </w:pPr>
      <w:r>
        <w:rPr>
          <w:rFonts w:hint="eastAsia" w:eastAsia="方正仿宋_GBK"/>
          <w:sz w:val="32"/>
          <w:highlight w:val="none"/>
          <w:lang w:val="en-US"/>
        </w:rPr>
        <w:t>代理购电信息，包括代理购电电量</w:t>
      </w:r>
      <w:r>
        <w:rPr>
          <w:rFonts w:hint="eastAsia" w:eastAsia="方正仿宋_GBK"/>
          <w:sz w:val="32"/>
          <w:highlight w:val="none"/>
          <w:lang w:val="en-US" w:eastAsia="zh-CN"/>
        </w:rPr>
        <w:t>及构成</w:t>
      </w:r>
      <w:r>
        <w:rPr>
          <w:rFonts w:hint="eastAsia" w:eastAsia="方正仿宋_GBK"/>
          <w:sz w:val="32"/>
          <w:highlight w:val="none"/>
          <w:lang w:val="en-US"/>
        </w:rPr>
        <w:t>、</w:t>
      </w:r>
      <w:r>
        <w:rPr>
          <w:rFonts w:hint="eastAsia" w:eastAsia="方正仿宋_GBK"/>
          <w:sz w:val="32"/>
          <w:highlight w:val="none"/>
          <w:lang w:val="en-US" w:eastAsia="zh-CN"/>
        </w:rPr>
        <w:t>代理购电</w:t>
      </w:r>
      <w:r>
        <w:rPr>
          <w:rFonts w:hint="eastAsia" w:eastAsia="方正仿宋_GBK"/>
          <w:sz w:val="32"/>
          <w:highlight w:val="none"/>
          <w:lang w:val="en-US"/>
        </w:rPr>
        <w:t>电价</w:t>
      </w:r>
      <w:r>
        <w:rPr>
          <w:rFonts w:hint="eastAsia" w:eastAsia="方正仿宋_GBK"/>
          <w:sz w:val="32"/>
          <w:highlight w:val="none"/>
          <w:lang w:val="en-US" w:eastAsia="zh-CN"/>
        </w:rPr>
        <w:t>及构成、代理购电用户分电压等级电价及构成等。</w:t>
      </w:r>
    </w:p>
    <w:p>
      <w:pPr>
        <w:pStyle w:val="18"/>
        <w:numPr>
          <w:ilvl w:val="0"/>
          <w:numId w:val="15"/>
        </w:numPr>
        <w:spacing w:line="560" w:lineRule="exact"/>
        <w:ind w:firstLine="600"/>
        <w:rPr>
          <w:rFonts w:eastAsia="方正仿宋_GBK"/>
          <w:sz w:val="32"/>
          <w:highlight w:val="none"/>
          <w:lang w:val="en-US"/>
        </w:rPr>
      </w:pPr>
      <w:r>
        <w:rPr>
          <w:rFonts w:hint="eastAsia" w:eastAsia="方正仿宋_GBK"/>
          <w:sz w:val="32"/>
          <w:highlight w:val="none"/>
          <w:lang w:val="en-US"/>
        </w:rPr>
        <w:t>其他政策法规要求向社会公众披露的信息。</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电网企业应当披露的公开信息包括：</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电力业务许可证（输电类、供电类）编号。</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发电机组装机、电量及分类构成</w:t>
      </w:r>
      <w:r>
        <w:rPr>
          <w:rFonts w:hint="eastAsia" w:eastAsia="方正仿宋_GBK"/>
          <w:sz w:val="32"/>
          <w:highlight w:val="none"/>
          <w:lang w:val="en-US" w:eastAsia="zh-CN"/>
        </w:rPr>
        <w:t>（含独立储能）</w:t>
      </w:r>
      <w:r>
        <w:rPr>
          <w:rFonts w:hint="eastAsia" w:eastAsia="方正仿宋_GBK"/>
          <w:sz w:val="32"/>
          <w:highlight w:val="none"/>
          <w:lang w:val="en-US"/>
        </w:rPr>
        <w:t>情况。</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年度发用电负荷</w:t>
      </w:r>
      <w:r>
        <w:rPr>
          <w:rFonts w:hint="eastAsia" w:eastAsia="方正仿宋_GBK"/>
          <w:sz w:val="32"/>
          <w:highlight w:val="none"/>
          <w:lang w:val="en-US" w:eastAsia="zh-CN"/>
        </w:rPr>
        <w:t>实际</w:t>
      </w:r>
      <w:r>
        <w:rPr>
          <w:rFonts w:hint="eastAsia" w:eastAsia="方正仿宋_GBK"/>
          <w:sz w:val="32"/>
          <w:highlight w:val="none"/>
          <w:lang w:val="en-US"/>
        </w:rPr>
        <w:t>情况。</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全社会用电量及分产业用电量信息</w:t>
      </w:r>
      <w:r>
        <w:rPr>
          <w:rFonts w:hint="eastAsia" w:eastAsia="方正仿宋_GBK"/>
          <w:sz w:val="32"/>
          <w:highlight w:val="none"/>
          <w:lang w:val="en-US" w:eastAsia="zh-CN"/>
        </w:rPr>
        <w:t>（转载披露）</w:t>
      </w:r>
      <w:r>
        <w:rPr>
          <w:rFonts w:hint="eastAsia" w:eastAsia="方正仿宋_GBK"/>
          <w:sz w:val="32"/>
          <w:highlight w:val="none"/>
          <w:lang w:val="en-US"/>
        </w:rPr>
        <w:t>。</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年度电力电量供需</w:t>
      </w:r>
      <w:r>
        <w:rPr>
          <w:rFonts w:hint="eastAsia" w:eastAsia="方正仿宋_GBK"/>
          <w:sz w:val="32"/>
          <w:highlight w:val="none"/>
          <w:lang w:val="en-US" w:eastAsia="zh-CN"/>
        </w:rPr>
        <w:t>平衡预测及实际情况</w:t>
      </w:r>
      <w:r>
        <w:rPr>
          <w:rFonts w:hint="eastAsia" w:eastAsia="方正仿宋_GBK"/>
          <w:sz w:val="32"/>
          <w:highlight w:val="none"/>
          <w:lang w:val="en-US"/>
        </w:rPr>
        <w:t>。</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输变电设备建设、投产情况。</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市场</w:t>
      </w:r>
      <w:r>
        <w:rPr>
          <w:rFonts w:hint="eastAsia" w:eastAsia="方正仿宋_GBK"/>
          <w:sz w:val="32"/>
          <w:highlight w:val="none"/>
          <w:lang w:val="en-US" w:eastAsia="zh-CN"/>
        </w:rPr>
        <w:t>经营</w:t>
      </w:r>
      <w:r>
        <w:rPr>
          <w:rFonts w:hint="eastAsia" w:eastAsia="方正仿宋_GBK"/>
          <w:sz w:val="32"/>
          <w:highlight w:val="none"/>
          <w:lang w:val="en-US"/>
        </w:rPr>
        <w:t>主体</w:t>
      </w:r>
      <w:r>
        <w:rPr>
          <w:rFonts w:hint="eastAsia" w:eastAsia="方正仿宋_GBK"/>
          <w:sz w:val="32"/>
          <w:highlight w:val="none"/>
          <w:lang w:val="en-US" w:eastAsia="zh-CN"/>
        </w:rPr>
        <w:t>电费违约</w:t>
      </w:r>
      <w:r>
        <w:rPr>
          <w:rFonts w:hint="eastAsia" w:eastAsia="方正仿宋_GBK"/>
          <w:sz w:val="32"/>
          <w:highlight w:val="none"/>
          <w:lang w:val="en-US"/>
        </w:rPr>
        <w:t>总体情况。</w:t>
      </w:r>
    </w:p>
    <w:p>
      <w:pPr>
        <w:pStyle w:val="18"/>
        <w:numPr>
          <w:ilvl w:val="0"/>
          <w:numId w:val="16"/>
        </w:numPr>
        <w:spacing w:line="560" w:lineRule="exact"/>
        <w:ind w:firstLine="600"/>
        <w:rPr>
          <w:rFonts w:eastAsia="方正仿宋_GBK"/>
          <w:sz w:val="32"/>
          <w:highlight w:val="none"/>
          <w:lang w:val="en-US"/>
        </w:rPr>
      </w:pPr>
      <w:r>
        <w:rPr>
          <w:rFonts w:hint="eastAsia" w:eastAsia="方正仿宋_GBK"/>
          <w:sz w:val="32"/>
          <w:highlight w:val="none"/>
          <w:lang w:val="en-US"/>
        </w:rPr>
        <w:t>需求侧响应执行情况</w:t>
      </w:r>
      <w:r>
        <w:rPr>
          <w:rFonts w:hint="eastAsia" w:eastAsia="方正仿宋_GBK"/>
          <w:sz w:val="32"/>
          <w:highlight w:val="none"/>
          <w:lang w:val="en-US" w:eastAsia="zh-CN"/>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电网企业</w:t>
      </w:r>
      <w:r>
        <w:rPr>
          <w:rFonts w:eastAsia="方正仿宋_GBK"/>
          <w:sz w:val="32"/>
          <w:szCs w:val="32"/>
          <w:highlight w:val="none"/>
        </w:rPr>
        <w:t>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r>
        <w:rPr>
          <w:rFonts w:hint="eastAsia" w:eastAsia="方正仿宋_GBK"/>
          <w:sz w:val="32"/>
          <w:szCs w:val="32"/>
          <w:highlight w:val="none"/>
        </w:rPr>
        <w:t>：</w:t>
      </w:r>
    </w:p>
    <w:p>
      <w:pPr>
        <w:pStyle w:val="18"/>
        <w:numPr>
          <w:ilvl w:val="0"/>
          <w:numId w:val="17"/>
        </w:numPr>
        <w:spacing w:line="560" w:lineRule="exact"/>
        <w:ind w:firstLine="600"/>
        <w:rPr>
          <w:rFonts w:eastAsia="方正仿宋_GBK"/>
          <w:sz w:val="32"/>
          <w:highlight w:val="none"/>
          <w:lang w:val="en-US"/>
        </w:rPr>
      </w:pPr>
      <w:r>
        <w:rPr>
          <w:rFonts w:hint="eastAsia" w:eastAsia="方正仿宋_GBK"/>
          <w:sz w:val="32"/>
          <w:highlight w:val="none"/>
          <w:lang w:val="en-US" w:eastAsia="zh-CN"/>
        </w:rPr>
        <w:t>向</w:t>
      </w:r>
      <w:r>
        <w:rPr>
          <w:rFonts w:hint="eastAsia" w:eastAsia="方正仿宋_GBK"/>
          <w:sz w:val="32"/>
          <w:highlight w:val="none"/>
          <w:lang w:val="en-US"/>
        </w:rPr>
        <w:t>电力用户</w:t>
      </w:r>
      <w:r>
        <w:rPr>
          <w:rFonts w:hint="eastAsia" w:eastAsia="方正仿宋_GBK"/>
          <w:sz w:val="32"/>
          <w:highlight w:val="none"/>
          <w:lang w:val="en-US" w:eastAsia="zh-CN"/>
        </w:rPr>
        <w:t>披露</w:t>
      </w:r>
      <w:r>
        <w:rPr>
          <w:rFonts w:hint="eastAsia" w:eastAsia="方正仿宋_GBK"/>
          <w:sz w:val="32"/>
          <w:highlight w:val="none"/>
          <w:lang w:val="en-US"/>
        </w:rPr>
        <w:t>历史用电数据、用电量等用电信息。</w:t>
      </w:r>
    </w:p>
    <w:p>
      <w:pPr>
        <w:pStyle w:val="18"/>
        <w:numPr>
          <w:ilvl w:val="0"/>
          <w:numId w:val="17"/>
        </w:numPr>
        <w:spacing w:line="560" w:lineRule="exact"/>
        <w:ind w:firstLine="600"/>
        <w:rPr>
          <w:rFonts w:eastAsia="方正仿宋_GBK"/>
          <w:sz w:val="32"/>
          <w:highlight w:val="none"/>
          <w:lang w:val="en-US"/>
        </w:rPr>
      </w:pPr>
      <w:r>
        <w:rPr>
          <w:rFonts w:hint="eastAsia" w:eastAsia="方正仿宋_GBK"/>
          <w:sz w:val="32"/>
          <w:highlight w:val="none"/>
          <w:lang w:val="en-US"/>
        </w:rPr>
        <w:t>经电力用户授权同意后，应允许市场</w:t>
      </w:r>
      <w:r>
        <w:rPr>
          <w:rFonts w:hint="eastAsia" w:eastAsia="方正仿宋_GBK"/>
          <w:sz w:val="32"/>
          <w:highlight w:val="none"/>
          <w:lang w:val="en-US" w:eastAsia="zh-CN"/>
        </w:rPr>
        <w:t>经营</w:t>
      </w:r>
      <w:r>
        <w:rPr>
          <w:rFonts w:hint="eastAsia" w:eastAsia="方正仿宋_GBK"/>
          <w:sz w:val="32"/>
          <w:highlight w:val="none"/>
          <w:lang w:val="en-US"/>
        </w:rPr>
        <w:t>主体获取电力用户历史用电数据、用电量等信息。</w:t>
      </w:r>
    </w:p>
    <w:p>
      <w:pPr>
        <w:pStyle w:val="17"/>
        <w:spacing w:before="0" w:beforeLines="0" w:line="560" w:lineRule="exact"/>
        <w:ind w:left="0" w:firstLine="0"/>
        <w:textAlignment w:val="auto"/>
        <w:rPr>
          <w:rFonts w:ascii="方正楷体_GBK" w:hAnsi="方正楷体_GBK"/>
          <w:sz w:val="32"/>
          <w:szCs w:val="32"/>
          <w:highlight w:val="none"/>
        </w:rPr>
      </w:pPr>
      <w:bookmarkStart w:id="7" w:name="_Toc22631715"/>
      <w:r>
        <w:rPr>
          <w:rFonts w:ascii="方正楷体_GBK" w:hAnsi="方正楷体_GBK"/>
          <w:sz w:val="32"/>
          <w:szCs w:val="32"/>
          <w:highlight w:val="none"/>
        </w:rPr>
        <w:t>第</w:t>
      </w:r>
      <w:r>
        <w:rPr>
          <w:rFonts w:hint="eastAsia" w:ascii="方正楷体_GBK" w:hAnsi="方正楷体_GBK"/>
          <w:sz w:val="32"/>
          <w:szCs w:val="32"/>
          <w:highlight w:val="none"/>
        </w:rPr>
        <w:t>六</w:t>
      </w:r>
      <w:r>
        <w:rPr>
          <w:rFonts w:ascii="方正楷体_GBK" w:hAnsi="方正楷体_GBK"/>
          <w:sz w:val="32"/>
          <w:szCs w:val="32"/>
          <w:highlight w:val="none"/>
        </w:rPr>
        <w:t xml:space="preserve">节 </w:t>
      </w:r>
      <w:r>
        <w:rPr>
          <w:rFonts w:hint="eastAsia" w:ascii="方正楷体_GBK" w:hAnsi="方正楷体_GBK"/>
          <w:sz w:val="32"/>
          <w:szCs w:val="32"/>
          <w:highlight w:val="none"/>
          <w:lang w:eastAsia="zh-CN"/>
        </w:rPr>
        <w:t>市场运营</w:t>
      </w:r>
      <w:r>
        <w:rPr>
          <w:rFonts w:ascii="方正楷体_GBK" w:hAnsi="方正楷体_GBK"/>
          <w:sz w:val="32"/>
          <w:szCs w:val="32"/>
          <w:highlight w:val="none"/>
        </w:rPr>
        <w:t>机构</w:t>
      </w:r>
    </w:p>
    <w:p>
      <w:pPr>
        <w:pStyle w:val="16"/>
        <w:numPr>
          <w:ilvl w:val="0"/>
          <w:numId w:val="2"/>
        </w:numPr>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市场运营</w:t>
      </w:r>
      <w:r>
        <w:rPr>
          <w:rFonts w:eastAsia="方正仿宋_GBK"/>
          <w:sz w:val="32"/>
          <w:szCs w:val="32"/>
          <w:highlight w:val="none"/>
        </w:rPr>
        <w:t>机构应当披露的</w:t>
      </w:r>
      <w:r>
        <w:rPr>
          <w:rFonts w:hint="eastAsia" w:eastAsia="方正仿宋_GBK"/>
          <w:sz w:val="32"/>
          <w:szCs w:val="32"/>
          <w:highlight w:val="none"/>
        </w:rPr>
        <w:t>公众</w:t>
      </w:r>
      <w:r>
        <w:rPr>
          <w:rFonts w:eastAsia="方正仿宋_GBK"/>
          <w:sz w:val="32"/>
          <w:szCs w:val="32"/>
          <w:highlight w:val="none"/>
        </w:rPr>
        <w:t>信息包括：</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eastAsia="zh-CN"/>
        </w:rPr>
        <w:t>电力交易</w:t>
      </w:r>
      <w:r>
        <w:rPr>
          <w:rFonts w:hint="eastAsia" w:eastAsia="方正仿宋_GBK"/>
          <w:sz w:val="32"/>
          <w:highlight w:val="none"/>
          <w:lang w:val="en-US"/>
        </w:rPr>
        <w:t>机构全称、工商注册时间、股权结构、统一社会信用代码、法定代表人、</w:t>
      </w:r>
      <w:r>
        <w:rPr>
          <w:rFonts w:eastAsia="方正仿宋_GBK"/>
          <w:sz w:val="32"/>
          <w:highlight w:val="none"/>
          <w:lang w:val="en-US"/>
        </w:rPr>
        <w:t>服务电话</w:t>
      </w:r>
      <w:r>
        <w:rPr>
          <w:rFonts w:hint="eastAsia" w:eastAsia="方正仿宋_GBK"/>
          <w:sz w:val="32"/>
          <w:highlight w:val="none"/>
          <w:lang w:val="en-US"/>
        </w:rPr>
        <w:t>、办公地址、网站网址等。</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rPr>
        <w:t>电力市场</w:t>
      </w:r>
      <w:r>
        <w:rPr>
          <w:rFonts w:hint="eastAsia" w:eastAsia="方正仿宋_GBK"/>
          <w:sz w:val="32"/>
          <w:highlight w:val="none"/>
          <w:lang w:val="en-US" w:eastAsia="zh-CN"/>
        </w:rPr>
        <w:t>公开</w:t>
      </w:r>
      <w:r>
        <w:rPr>
          <w:rFonts w:hint="eastAsia" w:eastAsia="方正仿宋_GBK"/>
          <w:sz w:val="32"/>
          <w:highlight w:val="none"/>
          <w:lang w:val="en-US"/>
        </w:rPr>
        <w:t>适用的法律法规、政策文件</w:t>
      </w:r>
      <w:r>
        <w:rPr>
          <w:rFonts w:eastAsia="方正仿宋_GBK"/>
          <w:sz w:val="32"/>
          <w:highlight w:val="none"/>
          <w:lang w:val="en-US"/>
        </w:rPr>
        <w:t>、规则细则类信息</w:t>
      </w:r>
      <w:r>
        <w:rPr>
          <w:rFonts w:hint="eastAsia" w:eastAsia="方正仿宋_GBK"/>
          <w:sz w:val="32"/>
          <w:highlight w:val="none"/>
          <w:lang w:val="en-US"/>
        </w:rPr>
        <w:t>，包括交易规则、交易相关收费标准，制定、修订市场规则过程中涉及的解释性文档等。</w:t>
      </w:r>
    </w:p>
    <w:p>
      <w:pPr>
        <w:pStyle w:val="18"/>
        <w:numPr>
          <w:ilvl w:val="0"/>
          <w:numId w:val="18"/>
        </w:numPr>
        <w:spacing w:line="560" w:lineRule="exact"/>
        <w:ind w:firstLine="600"/>
        <w:rPr>
          <w:rFonts w:eastAsia="方正仿宋_GBK"/>
          <w:sz w:val="32"/>
          <w:highlight w:val="none"/>
          <w:lang w:val="en-US"/>
        </w:rPr>
      </w:pPr>
      <w:r>
        <w:rPr>
          <w:rFonts w:eastAsia="方正仿宋_GBK"/>
          <w:sz w:val="32"/>
          <w:highlight w:val="none"/>
          <w:lang w:val="en-US"/>
        </w:rPr>
        <w:t>业务标准规范，包括注册流程、争议解决流程、</w:t>
      </w:r>
      <w:r>
        <w:rPr>
          <w:rFonts w:hint="eastAsia" w:eastAsia="方正仿宋_GBK"/>
          <w:sz w:val="32"/>
          <w:highlight w:val="none"/>
          <w:lang w:val="en-US"/>
        </w:rPr>
        <w:t>负荷预测方法和流程、辅助服务需求计算方法</w:t>
      </w:r>
      <w:r>
        <w:rPr>
          <w:rFonts w:hint="eastAsia" w:eastAsia="方正仿宋_GBK"/>
          <w:sz w:val="32"/>
          <w:highlight w:val="none"/>
          <w:lang w:val="en-US" w:eastAsia="zh-CN"/>
        </w:rPr>
        <w:t>、电网安全校核规范、电力市场</w:t>
      </w:r>
      <w:r>
        <w:rPr>
          <w:rFonts w:eastAsia="方正仿宋_GBK"/>
          <w:sz w:val="32"/>
          <w:highlight w:val="none"/>
          <w:lang w:val="en-US"/>
        </w:rPr>
        <w:t>服务指南、数据通讯格式规范等。</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rPr>
        <w:t>信用信息，包括市场</w:t>
      </w:r>
      <w:r>
        <w:rPr>
          <w:rFonts w:hint="eastAsia" w:eastAsia="方正仿宋_GBK"/>
          <w:sz w:val="32"/>
          <w:highlight w:val="none"/>
          <w:lang w:val="en-US" w:eastAsia="zh-CN"/>
        </w:rPr>
        <w:t>经营</w:t>
      </w:r>
      <w:r>
        <w:rPr>
          <w:rFonts w:hint="eastAsia" w:eastAsia="方正仿宋_GBK"/>
          <w:sz w:val="32"/>
          <w:highlight w:val="none"/>
          <w:lang w:val="en-US"/>
        </w:rPr>
        <w:t>主体电力交易信用信息（经政府同意）、售电公司违约情况等</w:t>
      </w:r>
      <w:r>
        <w:rPr>
          <w:rFonts w:eastAsia="方正仿宋_GBK"/>
          <w:sz w:val="32"/>
          <w:highlight w:val="none"/>
          <w:lang w:val="en-US"/>
        </w:rPr>
        <w:t>。</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rPr>
        <w:t>电力市场运行情况，包括市场注册、交易总体情况。</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rPr>
        <w:t>强制或自愿退出且公示生效后的市场</w:t>
      </w:r>
      <w:r>
        <w:rPr>
          <w:rFonts w:hint="eastAsia" w:eastAsia="方正仿宋_GBK"/>
          <w:sz w:val="32"/>
          <w:highlight w:val="none"/>
          <w:lang w:val="en-US" w:eastAsia="zh-CN"/>
        </w:rPr>
        <w:t>经营</w:t>
      </w:r>
      <w:r>
        <w:rPr>
          <w:rFonts w:hint="eastAsia" w:eastAsia="方正仿宋_GBK"/>
          <w:sz w:val="32"/>
          <w:highlight w:val="none"/>
          <w:lang w:val="en-US"/>
        </w:rPr>
        <w:t>主体</w:t>
      </w:r>
      <w:r>
        <w:rPr>
          <w:rFonts w:eastAsia="方正仿宋_GBK"/>
          <w:sz w:val="32"/>
          <w:highlight w:val="none"/>
          <w:lang w:val="en-US"/>
        </w:rPr>
        <w:t>名单。</w:t>
      </w:r>
    </w:p>
    <w:p>
      <w:pPr>
        <w:pStyle w:val="18"/>
        <w:numPr>
          <w:ilvl w:val="0"/>
          <w:numId w:val="18"/>
        </w:numPr>
        <w:spacing w:line="560" w:lineRule="exact"/>
        <w:ind w:firstLine="600"/>
        <w:rPr>
          <w:rFonts w:eastAsia="方正仿宋_GBK"/>
          <w:sz w:val="32"/>
          <w:highlight w:val="none"/>
          <w:lang w:val="en-US"/>
        </w:rPr>
      </w:pPr>
      <w:r>
        <w:rPr>
          <w:rFonts w:eastAsia="方正仿宋_GBK"/>
          <w:sz w:val="32"/>
          <w:highlight w:val="none"/>
          <w:lang w:val="en-US"/>
        </w:rPr>
        <w:t>市场力情况</w:t>
      </w:r>
      <w:r>
        <w:rPr>
          <w:rFonts w:hint="eastAsia" w:eastAsia="方正仿宋_GBK"/>
          <w:sz w:val="32"/>
          <w:highlight w:val="none"/>
          <w:lang w:val="en-US" w:eastAsia="zh-CN"/>
        </w:rPr>
        <w:t>，可采用</w:t>
      </w:r>
      <w:r>
        <w:rPr>
          <w:rFonts w:hint="eastAsia" w:eastAsia="方正仿宋_GBK"/>
          <w:highlight w:val="none"/>
          <w:lang w:val="en-US"/>
        </w:rPr>
        <w:t>HHI、Top-m</w:t>
      </w:r>
      <w:r>
        <w:rPr>
          <w:rFonts w:hint="eastAsia" w:eastAsia="方正仿宋_GBK"/>
          <w:highlight w:val="none"/>
          <w:lang w:val="en-US" w:eastAsia="zh-CN"/>
        </w:rPr>
        <w:t>等</w:t>
      </w:r>
      <w:r>
        <w:rPr>
          <w:rFonts w:hint="eastAsia" w:eastAsia="方正仿宋_GBK"/>
          <w:highlight w:val="none"/>
          <w:lang w:val="en-US"/>
        </w:rPr>
        <w:t>指标</w:t>
      </w:r>
      <w:r>
        <w:rPr>
          <w:rFonts w:eastAsia="方正仿宋_GBK"/>
          <w:sz w:val="32"/>
          <w:highlight w:val="none"/>
          <w:lang w:val="en-US"/>
        </w:rPr>
        <w:t>。</w:t>
      </w:r>
    </w:p>
    <w:p>
      <w:pPr>
        <w:pStyle w:val="18"/>
        <w:numPr>
          <w:ilvl w:val="0"/>
          <w:numId w:val="18"/>
        </w:numPr>
        <w:spacing w:line="560" w:lineRule="exact"/>
        <w:ind w:firstLine="600"/>
        <w:rPr>
          <w:rFonts w:eastAsia="方正仿宋_GBK"/>
          <w:sz w:val="32"/>
          <w:highlight w:val="none"/>
          <w:lang w:val="en-US"/>
        </w:rPr>
      </w:pPr>
      <w:r>
        <w:rPr>
          <w:rFonts w:hint="eastAsia" w:eastAsia="方正仿宋_GBK"/>
          <w:sz w:val="32"/>
          <w:highlight w:val="none"/>
          <w:lang w:val="en-US"/>
        </w:rPr>
        <w:t>市场暂停、中止、重新启动等情况。</w:t>
      </w:r>
    </w:p>
    <w:p>
      <w:pPr>
        <w:pStyle w:val="18"/>
        <w:numPr>
          <w:ilvl w:val="0"/>
          <w:numId w:val="18"/>
        </w:numPr>
        <w:spacing w:line="560" w:lineRule="exact"/>
        <w:ind w:firstLine="600"/>
        <w:rPr>
          <w:rFonts w:eastAsia="方正仿宋_GBK"/>
          <w:sz w:val="32"/>
          <w:highlight w:val="none"/>
        </w:rPr>
      </w:pPr>
      <w:r>
        <w:rPr>
          <w:rFonts w:eastAsia="方正仿宋_GBK"/>
          <w:sz w:val="32"/>
          <w:highlight w:val="none"/>
          <w:lang w:val="en-US"/>
        </w:rPr>
        <w:t>其他</w:t>
      </w:r>
      <w:r>
        <w:rPr>
          <w:rFonts w:hint="eastAsia" w:eastAsia="方正仿宋_GBK"/>
          <w:sz w:val="32"/>
          <w:highlight w:val="none"/>
          <w:lang w:val="en-US"/>
        </w:rPr>
        <w:t>政策</w:t>
      </w:r>
      <w:r>
        <w:rPr>
          <w:rFonts w:eastAsia="方正仿宋_GBK"/>
          <w:sz w:val="32"/>
          <w:highlight w:val="none"/>
          <w:lang w:val="en-US"/>
        </w:rPr>
        <w:t>法规要求向社会公众</w:t>
      </w:r>
      <w:r>
        <w:rPr>
          <w:rFonts w:hint="eastAsia" w:eastAsia="方正仿宋_GBK"/>
          <w:sz w:val="32"/>
          <w:highlight w:val="none"/>
          <w:lang w:val="en-US"/>
        </w:rPr>
        <w:t>披露</w:t>
      </w:r>
      <w:r>
        <w:rPr>
          <w:rFonts w:eastAsia="方正仿宋_GBK"/>
          <w:sz w:val="32"/>
          <w:highlight w:val="none"/>
          <w:lang w:val="en-US"/>
        </w:rPr>
        <w:t>的信息。</w:t>
      </w:r>
    </w:p>
    <w:p>
      <w:pPr>
        <w:pStyle w:val="16"/>
        <w:numPr>
          <w:ilvl w:val="0"/>
          <w:numId w:val="2"/>
        </w:numPr>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市场运营</w:t>
      </w:r>
      <w:r>
        <w:rPr>
          <w:rFonts w:eastAsia="方正仿宋_GBK"/>
          <w:sz w:val="32"/>
          <w:szCs w:val="32"/>
          <w:highlight w:val="none"/>
        </w:rPr>
        <w:t>机构应当披露的公开信息包括：</w:t>
      </w:r>
    </w:p>
    <w:p>
      <w:pPr>
        <w:pStyle w:val="18"/>
        <w:numPr>
          <w:ilvl w:val="0"/>
          <w:numId w:val="19"/>
        </w:numPr>
        <w:spacing w:line="560" w:lineRule="exact"/>
        <w:ind w:firstLine="600"/>
        <w:rPr>
          <w:rFonts w:eastAsia="方正仿宋_GBK"/>
          <w:sz w:val="32"/>
          <w:highlight w:val="none"/>
        </w:rPr>
      </w:pPr>
      <w:r>
        <w:rPr>
          <w:rFonts w:hint="eastAsia" w:eastAsia="方正仿宋_GBK"/>
          <w:sz w:val="32"/>
          <w:highlight w:val="none"/>
          <w:lang w:val="en-US"/>
        </w:rPr>
        <w:t>报告信息，包括</w:t>
      </w:r>
      <w:r>
        <w:rPr>
          <w:rFonts w:eastAsia="方正仿宋_GBK"/>
          <w:sz w:val="32"/>
          <w:highlight w:val="none"/>
        </w:rPr>
        <w:t>信息披露报告</w:t>
      </w:r>
      <w:r>
        <w:rPr>
          <w:rFonts w:hint="eastAsia" w:eastAsia="方正仿宋_GBK"/>
          <w:sz w:val="32"/>
          <w:highlight w:val="none"/>
          <w:lang w:val="en-US"/>
        </w:rPr>
        <w:t>等</w:t>
      </w:r>
      <w:r>
        <w:rPr>
          <w:rFonts w:eastAsia="方正仿宋_GBK"/>
          <w:sz w:val="32"/>
          <w:highlight w:val="none"/>
        </w:rPr>
        <w:t>定期报告</w:t>
      </w:r>
      <w:r>
        <w:rPr>
          <w:rFonts w:hint="eastAsia" w:eastAsia="方正仿宋_GBK"/>
          <w:sz w:val="32"/>
          <w:highlight w:val="none"/>
          <w:lang w:val="en-US" w:eastAsia="zh-CN"/>
        </w:rPr>
        <w:t>、</w:t>
      </w:r>
      <w:r>
        <w:rPr>
          <w:rFonts w:eastAsia="方正仿宋_GBK"/>
          <w:sz w:val="32"/>
          <w:highlight w:val="none"/>
        </w:rPr>
        <w:t>经国家能源局派出机构或者</w:t>
      </w:r>
      <w:r>
        <w:rPr>
          <w:rFonts w:eastAsia="方正仿宋_GBK"/>
          <w:sz w:val="32"/>
          <w:highlight w:val="none"/>
          <w:lang w:val="en-US"/>
        </w:rPr>
        <w:t>地方政府</w:t>
      </w:r>
      <w:r>
        <w:rPr>
          <w:rFonts w:eastAsia="方正仿宋_GBK"/>
          <w:sz w:val="32"/>
          <w:highlight w:val="none"/>
        </w:rPr>
        <w:t>电力</w:t>
      </w:r>
      <w:r>
        <w:rPr>
          <w:rFonts w:eastAsia="方正仿宋_GBK"/>
          <w:sz w:val="32"/>
          <w:highlight w:val="none"/>
          <w:lang w:val="en-US"/>
        </w:rPr>
        <w:t>管理</w:t>
      </w:r>
      <w:r>
        <w:rPr>
          <w:rFonts w:eastAsia="方正仿宋_GBK"/>
          <w:sz w:val="32"/>
          <w:highlight w:val="none"/>
        </w:rPr>
        <w:t>部门认定的违规行为通报</w:t>
      </w:r>
      <w:r>
        <w:rPr>
          <w:rFonts w:hint="eastAsia" w:eastAsia="方正仿宋_GBK"/>
          <w:sz w:val="32"/>
          <w:highlight w:val="none"/>
          <w:lang w:val="en-US" w:eastAsia="zh-CN"/>
        </w:rPr>
        <w:t>、</w:t>
      </w:r>
      <w:r>
        <w:rPr>
          <w:rFonts w:eastAsia="方正仿宋_GBK"/>
          <w:sz w:val="32"/>
          <w:highlight w:val="none"/>
        </w:rPr>
        <w:t>市场干预情况</w:t>
      </w:r>
      <w:r>
        <w:rPr>
          <w:rFonts w:hint="eastAsia" w:eastAsia="方正仿宋_GBK"/>
          <w:sz w:val="32"/>
          <w:highlight w:val="none"/>
          <w:lang w:val="en-US" w:eastAsia="zh-CN"/>
        </w:rPr>
        <w:t>、</w:t>
      </w:r>
      <w:r>
        <w:rPr>
          <w:rFonts w:hint="eastAsia" w:eastAsia="方正仿宋_GBK"/>
          <w:sz w:val="32"/>
          <w:highlight w:val="none"/>
          <w:lang w:val="en-US"/>
        </w:rPr>
        <w:t>电力现货市场第三方校验报告</w:t>
      </w:r>
      <w:r>
        <w:rPr>
          <w:rFonts w:hint="eastAsia" w:eastAsia="方正仿宋_GBK"/>
          <w:sz w:val="32"/>
          <w:highlight w:val="none"/>
          <w:lang w:val="en-US" w:eastAsia="zh-CN"/>
        </w:rPr>
        <w:t>、</w:t>
      </w:r>
      <w:r>
        <w:rPr>
          <w:rFonts w:hint="eastAsia" w:eastAsia="方正仿宋_GBK"/>
          <w:highlight w:val="none"/>
          <w:lang w:val="en-US" w:eastAsia="zh-CN"/>
        </w:rPr>
        <w:t>经审计的收支总体情况（</w:t>
      </w:r>
      <w:r>
        <w:rPr>
          <w:rFonts w:hint="eastAsia" w:eastAsia="方正仿宋_GBK"/>
          <w:highlight w:val="none"/>
          <w:lang w:val="en-US"/>
        </w:rPr>
        <w:t>收费的</w:t>
      </w:r>
      <w:r>
        <w:rPr>
          <w:rFonts w:hint="eastAsia" w:eastAsia="方正仿宋_GBK"/>
          <w:highlight w:val="none"/>
          <w:lang w:val="en-US" w:eastAsia="zh-CN"/>
        </w:rPr>
        <w:t>电力交易机构披露）</w:t>
      </w:r>
      <w:r>
        <w:rPr>
          <w:rFonts w:hint="eastAsia" w:eastAsia="方正仿宋_GBK"/>
          <w:sz w:val="32"/>
          <w:highlight w:val="none"/>
          <w:lang w:val="en-US"/>
        </w:rPr>
        <w:t>等</w:t>
      </w:r>
      <w:r>
        <w:rPr>
          <w:rFonts w:hint="eastAsia" w:eastAsia="方正仿宋_GBK"/>
          <w:sz w:val="32"/>
          <w:highlight w:val="none"/>
        </w:rPr>
        <w:t>。</w:t>
      </w:r>
    </w:p>
    <w:p>
      <w:pPr>
        <w:pStyle w:val="18"/>
        <w:numPr>
          <w:ilvl w:val="0"/>
          <w:numId w:val="19"/>
        </w:numPr>
        <w:spacing w:line="560" w:lineRule="exact"/>
        <w:ind w:firstLine="600"/>
        <w:rPr>
          <w:rFonts w:eastAsia="方正仿宋_GBK"/>
          <w:sz w:val="32"/>
          <w:highlight w:val="none"/>
        </w:rPr>
      </w:pPr>
      <w:r>
        <w:rPr>
          <w:rFonts w:hint="eastAsia" w:eastAsia="方正仿宋_GBK"/>
          <w:sz w:val="32"/>
          <w:highlight w:val="none"/>
          <w:lang w:val="en-US"/>
        </w:rPr>
        <w:t>交易日历，包括多年、年、月、周、多日、日各类交易安排。</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电网主要网络通道示意图。</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约束信息，包括发输变电设备投产、检修、退役计划，</w:t>
      </w:r>
      <w:r>
        <w:rPr>
          <w:rFonts w:hint="eastAsia" w:eastAsia="方正仿宋_GBK"/>
          <w:sz w:val="32"/>
          <w:highlight w:val="none"/>
          <w:lang w:val="en-US" w:eastAsia="zh-CN"/>
        </w:rPr>
        <w:t>关键断面</w:t>
      </w:r>
      <w:r>
        <w:rPr>
          <w:rFonts w:hint="eastAsia" w:eastAsia="方正仿宋_GBK"/>
          <w:sz w:val="32"/>
          <w:highlight w:val="none"/>
          <w:lang w:val="en-US"/>
        </w:rPr>
        <w:t>输电通道可用容量</w:t>
      </w:r>
      <w:r>
        <w:rPr>
          <w:rFonts w:hint="eastAsia" w:eastAsia="方正仿宋_GBK"/>
          <w:sz w:val="32"/>
          <w:highlight w:val="none"/>
          <w:lang w:val="en-US" w:eastAsia="zh-CN"/>
        </w:rPr>
        <w:t>，省</w:t>
      </w:r>
      <w:r>
        <w:rPr>
          <w:rFonts w:hint="eastAsia" w:eastAsia="方正仿宋_GBK"/>
          <w:sz w:val="32"/>
          <w:highlight w:val="none"/>
          <w:lang w:val="en-US"/>
        </w:rPr>
        <w:t>间联络线输电</w:t>
      </w:r>
      <w:r>
        <w:rPr>
          <w:rFonts w:hint="eastAsia" w:eastAsia="方正仿宋_GBK"/>
          <w:sz w:val="32"/>
          <w:highlight w:val="none"/>
          <w:lang w:val="en-US" w:eastAsia="zh-CN"/>
        </w:rPr>
        <w:t>可用容量</w:t>
      </w:r>
      <w:r>
        <w:rPr>
          <w:rFonts w:hint="eastAsia" w:eastAsia="方正仿宋_GBK"/>
          <w:sz w:val="32"/>
          <w:highlight w:val="none"/>
          <w:lang w:val="en-US"/>
        </w:rPr>
        <w:t>，必开必停机组名单</w:t>
      </w:r>
      <w:r>
        <w:rPr>
          <w:rFonts w:hint="eastAsia" w:eastAsia="方正仿宋_GBK"/>
          <w:sz w:val="32"/>
          <w:highlight w:val="none"/>
          <w:lang w:val="en-US" w:eastAsia="zh-CN"/>
        </w:rPr>
        <w:t>及总容量</w:t>
      </w:r>
      <w:r>
        <w:rPr>
          <w:rFonts w:hint="eastAsia" w:eastAsia="方正仿宋_GBK"/>
          <w:sz w:val="32"/>
          <w:highlight w:val="none"/>
          <w:lang w:val="en-US"/>
        </w:rPr>
        <w:t>，开停机不满最小约束时间机组名单等。</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参数信息，包括市场出清模块算法及运行参数、价格限值、约束松弛惩罚因子、节点分配因子及其确定方法、节点及分区划分依据和详细数据等。</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预测信息，</w:t>
      </w:r>
      <w:r>
        <w:rPr>
          <w:rFonts w:hint="eastAsia" w:eastAsia="方正仿宋_GBK"/>
          <w:sz w:val="32"/>
          <w:highlight w:val="none"/>
          <w:lang w:val="en-US" w:eastAsia="zh-CN"/>
        </w:rPr>
        <w:t>包括</w:t>
      </w:r>
      <w:r>
        <w:rPr>
          <w:rFonts w:hint="eastAsia" w:eastAsia="方正仿宋_GBK"/>
          <w:sz w:val="32"/>
          <w:highlight w:val="none"/>
          <w:lang w:val="en-US"/>
        </w:rPr>
        <w:t>系统负荷预测</w:t>
      </w:r>
      <w:r>
        <w:rPr>
          <w:rFonts w:hint="eastAsia" w:eastAsia="方正仿宋_GBK"/>
          <w:sz w:val="32"/>
          <w:highlight w:val="none"/>
          <w:lang w:val="en-US" w:eastAsia="zh-CN"/>
        </w:rPr>
        <w:t>、</w:t>
      </w:r>
      <w:r>
        <w:rPr>
          <w:rFonts w:hint="eastAsia" w:eastAsia="方正仿宋_GBK"/>
          <w:sz w:val="32"/>
          <w:highlight w:val="none"/>
          <w:lang w:val="en-US"/>
        </w:rPr>
        <w:t>电力电量供需平衡预测</w:t>
      </w:r>
      <w:r>
        <w:rPr>
          <w:rFonts w:hint="eastAsia" w:eastAsia="方正仿宋_GBK"/>
          <w:sz w:val="32"/>
          <w:highlight w:val="none"/>
          <w:lang w:val="en-US" w:eastAsia="zh-CN"/>
        </w:rPr>
        <w:t>、省</w:t>
      </w:r>
      <w:r>
        <w:rPr>
          <w:rFonts w:hint="eastAsia" w:eastAsia="方正仿宋_GBK"/>
          <w:sz w:val="32"/>
          <w:highlight w:val="none"/>
          <w:lang w:val="en-US"/>
        </w:rPr>
        <w:t>间联络线输电</w:t>
      </w:r>
      <w:r>
        <w:rPr>
          <w:rFonts w:hint="eastAsia" w:eastAsia="方正仿宋_GBK"/>
          <w:sz w:val="32"/>
          <w:highlight w:val="none"/>
          <w:lang w:val="en-US" w:eastAsia="zh-CN"/>
        </w:rPr>
        <w:t>曲线预测、</w:t>
      </w:r>
      <w:r>
        <w:rPr>
          <w:rFonts w:hint="eastAsia" w:eastAsia="方正仿宋_GBK"/>
          <w:sz w:val="32"/>
          <w:highlight w:val="none"/>
          <w:lang w:val="en-US"/>
        </w:rPr>
        <w:t>发电总出力预测</w:t>
      </w:r>
      <w:r>
        <w:rPr>
          <w:rFonts w:hint="eastAsia" w:eastAsia="方正仿宋_GBK"/>
          <w:sz w:val="32"/>
          <w:highlight w:val="none"/>
          <w:lang w:val="en-US" w:eastAsia="zh-CN"/>
        </w:rPr>
        <w:t>、</w:t>
      </w:r>
      <w:r>
        <w:rPr>
          <w:rFonts w:hint="eastAsia" w:eastAsia="方正仿宋_GBK"/>
          <w:sz w:val="32"/>
          <w:highlight w:val="none"/>
          <w:lang w:val="en-US"/>
        </w:rPr>
        <w:t>非市场机组总出力预测</w:t>
      </w:r>
      <w:r>
        <w:rPr>
          <w:rFonts w:hint="eastAsia" w:eastAsia="方正仿宋_GBK"/>
          <w:sz w:val="32"/>
          <w:highlight w:val="none"/>
          <w:lang w:val="en-US" w:eastAsia="zh-CN"/>
        </w:rPr>
        <w:t>、</w:t>
      </w:r>
      <w:r>
        <w:rPr>
          <w:rFonts w:hint="eastAsia" w:eastAsia="方正仿宋_GBK"/>
          <w:sz w:val="32"/>
          <w:highlight w:val="none"/>
          <w:lang w:val="en-US"/>
        </w:rPr>
        <w:t>新能源（分电源类型）</w:t>
      </w:r>
      <w:r>
        <w:rPr>
          <w:rFonts w:hint="eastAsia" w:eastAsia="方正仿宋_GBK"/>
          <w:sz w:val="32"/>
          <w:highlight w:val="none"/>
          <w:lang w:val="en-US" w:eastAsia="zh-CN"/>
        </w:rPr>
        <w:t>总出力预测、</w:t>
      </w:r>
      <w:r>
        <w:rPr>
          <w:rFonts w:hint="eastAsia" w:eastAsia="方正仿宋_GBK"/>
          <w:sz w:val="32"/>
          <w:highlight w:val="none"/>
          <w:lang w:val="en-US"/>
        </w:rPr>
        <w:t>水电（含抽蓄）</w:t>
      </w:r>
      <w:r>
        <w:rPr>
          <w:rFonts w:hint="eastAsia" w:eastAsia="方正仿宋_GBK"/>
          <w:sz w:val="32"/>
          <w:highlight w:val="none"/>
          <w:lang w:val="en-US" w:eastAsia="zh-CN"/>
        </w:rPr>
        <w:t>出力</w:t>
      </w:r>
      <w:r>
        <w:rPr>
          <w:rFonts w:hint="eastAsia" w:eastAsia="方正仿宋_GBK"/>
          <w:sz w:val="32"/>
          <w:highlight w:val="none"/>
          <w:lang w:val="en-US"/>
        </w:rPr>
        <w:t>预测等</w:t>
      </w:r>
      <w:r>
        <w:rPr>
          <w:rFonts w:hint="eastAsia" w:eastAsia="方正仿宋_GBK"/>
          <w:sz w:val="30"/>
          <w:lang w:eastAsia="zh-CN"/>
        </w:rPr>
        <w:t>。</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eastAsia="zh-CN"/>
        </w:rPr>
        <w:t>辅助服务</w:t>
      </w:r>
      <w:r>
        <w:rPr>
          <w:rFonts w:hint="eastAsia" w:eastAsia="方正仿宋_GBK"/>
          <w:sz w:val="32"/>
          <w:highlight w:val="none"/>
          <w:lang w:val="en-US"/>
        </w:rPr>
        <w:t>需求信息</w:t>
      </w:r>
      <w:r>
        <w:rPr>
          <w:rFonts w:hint="eastAsia" w:eastAsia="方正仿宋_GBK"/>
          <w:sz w:val="32"/>
          <w:highlight w:val="none"/>
          <w:lang w:val="en-US" w:eastAsia="zh-CN"/>
        </w:rPr>
        <w:t>，包括各类辅助服务市场需求情况，具备参与辅助服务市场的机组台数及容量、用户及售电公司总体情况。</w:t>
      </w:r>
    </w:p>
    <w:p>
      <w:pPr>
        <w:pStyle w:val="18"/>
        <w:numPr>
          <w:ilvl w:val="0"/>
          <w:numId w:val="19"/>
        </w:numPr>
        <w:spacing w:line="560" w:lineRule="exact"/>
        <w:ind w:firstLine="600"/>
        <w:rPr>
          <w:rFonts w:eastAsia="方正仿宋_GBK"/>
          <w:sz w:val="32"/>
          <w:highlight w:val="none"/>
        </w:rPr>
      </w:pPr>
      <w:r>
        <w:rPr>
          <w:rFonts w:eastAsia="方正仿宋_GBK"/>
          <w:sz w:val="32"/>
          <w:highlight w:val="none"/>
        </w:rPr>
        <w:t>交易公告，</w:t>
      </w:r>
      <w:r>
        <w:rPr>
          <w:rFonts w:hint="eastAsia" w:eastAsia="方正仿宋_GBK"/>
          <w:sz w:val="32"/>
          <w:highlight w:val="none"/>
          <w:lang w:val="en-US"/>
        </w:rPr>
        <w:t>包括</w:t>
      </w:r>
      <w:r>
        <w:rPr>
          <w:rFonts w:eastAsia="方正仿宋_GBK"/>
          <w:sz w:val="32"/>
          <w:highlight w:val="none"/>
        </w:rPr>
        <w:t>交易品种、</w:t>
      </w:r>
      <w:r>
        <w:rPr>
          <w:rFonts w:hint="eastAsia" w:eastAsia="方正仿宋_GBK"/>
          <w:sz w:val="32"/>
          <w:highlight w:val="none"/>
          <w:lang w:eastAsia="zh-CN"/>
        </w:rPr>
        <w:t>经营</w:t>
      </w:r>
      <w:r>
        <w:rPr>
          <w:rFonts w:eastAsia="方正仿宋_GBK"/>
          <w:sz w:val="32"/>
          <w:highlight w:val="none"/>
        </w:rPr>
        <w:t>主体、交易方式、</w:t>
      </w:r>
      <w:r>
        <w:rPr>
          <w:rFonts w:hint="eastAsia" w:eastAsia="方正仿宋_GBK"/>
          <w:sz w:val="32"/>
          <w:highlight w:val="none"/>
          <w:lang w:val="en-US" w:eastAsia="zh-CN"/>
        </w:rPr>
        <w:t>交易申报时间</w:t>
      </w:r>
      <w:r>
        <w:rPr>
          <w:rFonts w:eastAsia="方正仿宋_GBK"/>
          <w:sz w:val="32"/>
          <w:highlight w:val="none"/>
        </w:rPr>
        <w:t>、交易</w:t>
      </w:r>
      <w:r>
        <w:rPr>
          <w:rFonts w:hint="eastAsia" w:eastAsia="方正仿宋_GBK"/>
          <w:sz w:val="32"/>
          <w:highlight w:val="none"/>
          <w:lang w:val="en-US" w:eastAsia="zh-CN"/>
        </w:rPr>
        <w:t>合同执行</w:t>
      </w:r>
      <w:r>
        <w:rPr>
          <w:rFonts w:eastAsia="方正仿宋_GBK"/>
          <w:sz w:val="32"/>
          <w:highlight w:val="none"/>
        </w:rPr>
        <w:t>开始时间及终止时间、交易参数、</w:t>
      </w:r>
      <w:r>
        <w:rPr>
          <w:rFonts w:eastAsia="方正仿宋_GBK"/>
          <w:sz w:val="32"/>
          <w:highlight w:val="none"/>
          <w:lang w:val="en-US"/>
        </w:rPr>
        <w:t>出清方式、</w:t>
      </w:r>
      <w:r>
        <w:rPr>
          <w:rFonts w:eastAsia="方正仿宋_GBK"/>
          <w:sz w:val="32"/>
          <w:highlight w:val="none"/>
        </w:rPr>
        <w:t>交易约束信息、交易</w:t>
      </w:r>
      <w:r>
        <w:rPr>
          <w:rFonts w:eastAsia="方正仿宋_GBK"/>
          <w:sz w:val="32"/>
          <w:highlight w:val="none"/>
          <w:lang w:val="en-US"/>
        </w:rPr>
        <w:t>操作说明、</w:t>
      </w:r>
      <w:r>
        <w:rPr>
          <w:rFonts w:eastAsia="方正仿宋_GBK"/>
          <w:sz w:val="32"/>
          <w:highlight w:val="none"/>
        </w:rPr>
        <w:t>其他准备信息等</w:t>
      </w:r>
      <w:r>
        <w:rPr>
          <w:rFonts w:hint="eastAsia" w:eastAsia="方正仿宋_GBK"/>
          <w:sz w:val="32"/>
          <w:highlight w:val="none"/>
          <w:lang w:val="en-US" w:eastAsia="zh-CN"/>
        </w:rPr>
        <w:t>必要信息</w:t>
      </w:r>
      <w:r>
        <w:rPr>
          <w:rFonts w:eastAsia="方正仿宋_GBK"/>
          <w:sz w:val="32"/>
          <w:highlight w:val="none"/>
        </w:rPr>
        <w:t>。</w:t>
      </w:r>
    </w:p>
    <w:p>
      <w:pPr>
        <w:pStyle w:val="18"/>
        <w:numPr>
          <w:ilvl w:val="0"/>
          <w:numId w:val="19"/>
        </w:numPr>
        <w:spacing w:line="560" w:lineRule="exact"/>
        <w:ind w:firstLine="584"/>
        <w:rPr>
          <w:rFonts w:eastAsia="方正仿宋_GBK"/>
          <w:spacing w:val="-4"/>
          <w:sz w:val="32"/>
          <w:highlight w:val="none"/>
        </w:rPr>
      </w:pPr>
      <w:r>
        <w:rPr>
          <w:rFonts w:hint="eastAsia" w:eastAsia="方正仿宋_GBK"/>
          <w:spacing w:val="-4"/>
          <w:sz w:val="32"/>
          <w:highlight w:val="none"/>
          <w:lang w:val="en-US" w:eastAsia="zh-CN"/>
        </w:rPr>
        <w:t>中长期交易申报及成交情况</w:t>
      </w:r>
      <w:r>
        <w:rPr>
          <w:rFonts w:eastAsia="方正仿宋_GBK"/>
          <w:spacing w:val="-4"/>
          <w:sz w:val="32"/>
          <w:highlight w:val="none"/>
        </w:rPr>
        <w:t>，包括参与的主体</w:t>
      </w:r>
      <w:r>
        <w:rPr>
          <w:rFonts w:eastAsia="方正仿宋_GBK"/>
          <w:spacing w:val="-4"/>
          <w:sz w:val="32"/>
          <w:highlight w:val="none"/>
          <w:lang w:val="en-US"/>
        </w:rPr>
        <w:t>数量</w:t>
      </w:r>
      <w:r>
        <w:rPr>
          <w:rFonts w:eastAsia="方正仿宋_GBK"/>
          <w:spacing w:val="-4"/>
          <w:sz w:val="32"/>
          <w:highlight w:val="none"/>
        </w:rPr>
        <w:t>、申报</w:t>
      </w:r>
      <w:r>
        <w:rPr>
          <w:rFonts w:hint="eastAsia" w:eastAsia="方正仿宋_GBK"/>
          <w:spacing w:val="-4"/>
          <w:sz w:val="32"/>
          <w:highlight w:val="none"/>
          <w:lang w:val="en-US" w:eastAsia="zh-CN"/>
        </w:rPr>
        <w:t>电量</w:t>
      </w:r>
      <w:r>
        <w:rPr>
          <w:rFonts w:eastAsia="方正仿宋_GBK"/>
          <w:spacing w:val="-4"/>
          <w:sz w:val="32"/>
          <w:highlight w:val="none"/>
        </w:rPr>
        <w:t>、成交的主体</w:t>
      </w:r>
      <w:r>
        <w:rPr>
          <w:rFonts w:eastAsia="方正仿宋_GBK"/>
          <w:spacing w:val="-4"/>
          <w:sz w:val="32"/>
          <w:highlight w:val="none"/>
          <w:lang w:val="en-US"/>
        </w:rPr>
        <w:t>数量</w:t>
      </w:r>
      <w:r>
        <w:rPr>
          <w:rFonts w:eastAsia="方正仿宋_GBK"/>
          <w:spacing w:val="-4"/>
          <w:sz w:val="32"/>
          <w:highlight w:val="none"/>
        </w:rPr>
        <w:t>、最终成交</w:t>
      </w:r>
      <w:r>
        <w:rPr>
          <w:rFonts w:hint="eastAsia" w:eastAsia="方正仿宋_GBK"/>
          <w:spacing w:val="-4"/>
          <w:sz w:val="32"/>
          <w:highlight w:val="none"/>
          <w:lang w:val="en-US"/>
        </w:rPr>
        <w:t>总量</w:t>
      </w:r>
      <w:r>
        <w:rPr>
          <w:rFonts w:hint="eastAsia" w:eastAsia="方正仿宋_GBK"/>
          <w:spacing w:val="-4"/>
          <w:sz w:val="32"/>
          <w:highlight w:val="none"/>
          <w:lang w:val="en-US" w:eastAsia="zh-CN"/>
        </w:rPr>
        <w:t>及分电源类型电量</w:t>
      </w:r>
      <w:r>
        <w:rPr>
          <w:rFonts w:hint="eastAsia" w:eastAsia="方正仿宋_GBK"/>
          <w:spacing w:val="-4"/>
          <w:sz w:val="32"/>
          <w:highlight w:val="none"/>
          <w:lang w:val="en-US"/>
        </w:rPr>
        <w:t>、成交均价</w:t>
      </w:r>
      <w:r>
        <w:rPr>
          <w:rFonts w:hint="eastAsia" w:eastAsia="方正仿宋_GBK"/>
          <w:spacing w:val="-4"/>
          <w:sz w:val="32"/>
          <w:highlight w:val="none"/>
          <w:lang w:val="en-US" w:eastAsia="zh-CN"/>
        </w:rPr>
        <w:t>及分电源类型均价、</w:t>
      </w:r>
      <w:r>
        <w:rPr>
          <w:rFonts w:hint="eastAsia" w:eastAsia="方正仿宋_GBK"/>
          <w:sz w:val="32"/>
          <w:highlight w:val="none"/>
          <w:lang w:val="en-US"/>
        </w:rPr>
        <w:t>中长期交易安全校核结果及原因</w:t>
      </w:r>
      <w:r>
        <w:rPr>
          <w:rFonts w:eastAsia="方正仿宋_GBK"/>
          <w:spacing w:val="-4"/>
          <w:sz w:val="32"/>
          <w:highlight w:val="none"/>
          <w:lang w:val="en-US"/>
        </w:rPr>
        <w:t>等</w:t>
      </w:r>
      <w:r>
        <w:rPr>
          <w:rFonts w:hint="eastAsia" w:eastAsia="方正仿宋_GBK"/>
          <w:sz w:val="32"/>
          <w:highlight w:val="none"/>
          <w:lang w:val="en-US"/>
        </w:rPr>
        <w:t>。</w:t>
      </w:r>
    </w:p>
    <w:p>
      <w:pPr>
        <w:pStyle w:val="18"/>
        <w:numPr>
          <w:ilvl w:val="0"/>
          <w:numId w:val="19"/>
        </w:numPr>
        <w:spacing w:line="560" w:lineRule="exact"/>
        <w:ind w:firstLine="584"/>
        <w:rPr>
          <w:rFonts w:eastAsia="方正仿宋_GBK"/>
          <w:sz w:val="32"/>
          <w:highlight w:val="none"/>
        </w:rPr>
      </w:pPr>
      <w:r>
        <w:rPr>
          <w:rFonts w:hint="eastAsia" w:eastAsia="方正仿宋_GBK"/>
          <w:sz w:val="32"/>
          <w:highlight w:val="none"/>
          <w:lang w:val="en-US" w:eastAsia="zh-CN"/>
        </w:rPr>
        <w:t>绿电、绿证交易申报及成交情况，</w:t>
      </w:r>
      <w:r>
        <w:rPr>
          <w:rFonts w:eastAsia="方正仿宋_GBK"/>
          <w:spacing w:val="-4"/>
          <w:sz w:val="32"/>
          <w:highlight w:val="none"/>
        </w:rPr>
        <w:t>包括参与的主体</w:t>
      </w:r>
      <w:r>
        <w:rPr>
          <w:rFonts w:eastAsia="方正仿宋_GBK"/>
          <w:spacing w:val="-4"/>
          <w:sz w:val="32"/>
          <w:highlight w:val="none"/>
          <w:lang w:val="en-US"/>
        </w:rPr>
        <w:t>数量</w:t>
      </w:r>
      <w:r>
        <w:rPr>
          <w:rFonts w:eastAsia="方正仿宋_GBK"/>
          <w:spacing w:val="-4"/>
          <w:sz w:val="32"/>
          <w:highlight w:val="none"/>
        </w:rPr>
        <w:t>、申报</w:t>
      </w:r>
      <w:r>
        <w:rPr>
          <w:rFonts w:hint="eastAsia" w:eastAsia="方正仿宋_GBK"/>
          <w:spacing w:val="-4"/>
          <w:sz w:val="32"/>
          <w:highlight w:val="none"/>
          <w:lang w:val="en-US" w:eastAsia="zh-CN"/>
        </w:rPr>
        <w:t>电量</w:t>
      </w:r>
      <w:r>
        <w:rPr>
          <w:rFonts w:eastAsia="方正仿宋_GBK"/>
          <w:spacing w:val="-4"/>
          <w:sz w:val="32"/>
          <w:highlight w:val="none"/>
        </w:rPr>
        <w:t>、成交的主体</w:t>
      </w:r>
      <w:r>
        <w:rPr>
          <w:rFonts w:eastAsia="方正仿宋_GBK"/>
          <w:spacing w:val="-4"/>
          <w:sz w:val="32"/>
          <w:highlight w:val="none"/>
          <w:lang w:val="en-US"/>
        </w:rPr>
        <w:t>数量</w:t>
      </w:r>
      <w:r>
        <w:rPr>
          <w:rFonts w:eastAsia="方正仿宋_GBK"/>
          <w:spacing w:val="-4"/>
          <w:sz w:val="32"/>
          <w:highlight w:val="none"/>
        </w:rPr>
        <w:t>、最终成交</w:t>
      </w:r>
      <w:r>
        <w:rPr>
          <w:rFonts w:hint="eastAsia" w:eastAsia="方正仿宋_GBK"/>
          <w:spacing w:val="-4"/>
          <w:sz w:val="32"/>
          <w:highlight w:val="none"/>
          <w:lang w:val="en-US"/>
        </w:rPr>
        <w:t>总量、成交均价</w:t>
      </w:r>
      <w:r>
        <w:rPr>
          <w:rFonts w:eastAsia="方正仿宋_GBK"/>
          <w:spacing w:val="-4"/>
          <w:sz w:val="32"/>
          <w:highlight w:val="none"/>
          <w:lang w:val="en-US"/>
        </w:rPr>
        <w:t>等</w:t>
      </w:r>
      <w:r>
        <w:rPr>
          <w:rFonts w:hint="eastAsia" w:eastAsia="方正仿宋_GBK"/>
          <w:spacing w:val="-4"/>
          <w:sz w:val="32"/>
          <w:highlight w:val="none"/>
          <w:lang w:val="en-US" w:eastAsia="zh-CN"/>
        </w:rPr>
        <w:t>。</w:t>
      </w:r>
    </w:p>
    <w:p>
      <w:pPr>
        <w:pStyle w:val="18"/>
        <w:numPr>
          <w:ilvl w:val="0"/>
          <w:numId w:val="19"/>
        </w:numPr>
        <w:spacing w:line="560" w:lineRule="exact"/>
        <w:ind w:firstLine="600"/>
        <w:rPr>
          <w:rFonts w:eastAsia="方正仿宋_GBK"/>
          <w:spacing w:val="-4"/>
          <w:sz w:val="32"/>
          <w:highlight w:val="none"/>
        </w:rPr>
      </w:pPr>
      <w:r>
        <w:rPr>
          <w:rFonts w:hint="eastAsia" w:eastAsia="方正仿宋_GBK"/>
          <w:spacing w:val="-4"/>
          <w:sz w:val="32"/>
          <w:highlight w:val="none"/>
          <w:lang w:val="en-US" w:eastAsia="zh-CN"/>
        </w:rPr>
        <w:t>省间月度</w:t>
      </w:r>
      <w:r>
        <w:rPr>
          <w:rFonts w:hint="eastAsia" w:eastAsia="方正仿宋_GBK"/>
          <w:spacing w:val="-4"/>
          <w:sz w:val="32"/>
          <w:highlight w:val="none"/>
        </w:rPr>
        <w:t>交易计划</w:t>
      </w:r>
      <w:r>
        <w:rPr>
          <w:rFonts w:hint="eastAsia" w:eastAsia="方正仿宋_GBK"/>
          <w:spacing w:val="-4"/>
          <w:sz w:val="32"/>
          <w:highlight w:val="none"/>
          <w:lang w:eastAsia="zh-CN"/>
        </w:rPr>
        <w:t>。</w:t>
      </w:r>
    </w:p>
    <w:p>
      <w:pPr>
        <w:pStyle w:val="18"/>
        <w:numPr>
          <w:ilvl w:val="0"/>
          <w:numId w:val="19"/>
        </w:numPr>
        <w:spacing w:line="560" w:lineRule="exact"/>
        <w:ind w:firstLine="584"/>
        <w:rPr>
          <w:rFonts w:eastAsia="方正仿宋_GBK"/>
          <w:sz w:val="32"/>
          <w:highlight w:val="none"/>
        </w:rPr>
      </w:pPr>
      <w:r>
        <w:rPr>
          <w:rFonts w:hint="eastAsia" w:eastAsia="方正仿宋_GBK"/>
          <w:sz w:val="32"/>
          <w:highlight w:val="none"/>
          <w:lang w:val="en-US" w:eastAsia="zh-CN"/>
        </w:rPr>
        <w:t>现货、辅助服务市场申报出清信息，</w:t>
      </w:r>
      <w:r>
        <w:rPr>
          <w:rFonts w:eastAsia="方正仿宋_GBK"/>
          <w:sz w:val="32"/>
          <w:highlight w:val="none"/>
        </w:rPr>
        <w:t>包括各时段出清</w:t>
      </w:r>
      <w:r>
        <w:rPr>
          <w:rFonts w:hint="eastAsia" w:eastAsia="方正仿宋_GBK"/>
          <w:sz w:val="32"/>
          <w:highlight w:val="none"/>
          <w:lang w:val="en-US"/>
        </w:rPr>
        <w:t>总</w:t>
      </w:r>
      <w:r>
        <w:rPr>
          <w:rFonts w:eastAsia="方正仿宋_GBK"/>
          <w:sz w:val="32"/>
          <w:highlight w:val="none"/>
        </w:rPr>
        <w:t>量</w:t>
      </w:r>
      <w:r>
        <w:rPr>
          <w:rFonts w:hint="eastAsia" w:eastAsia="方正仿宋_GBK"/>
          <w:sz w:val="32"/>
          <w:highlight w:val="none"/>
          <w:lang w:val="en-US" w:eastAsia="zh-CN"/>
        </w:rPr>
        <w:t>及分类电源中标台数和电量、出清</w:t>
      </w:r>
      <w:r>
        <w:rPr>
          <w:rFonts w:hint="eastAsia" w:eastAsia="方正仿宋_GBK"/>
          <w:sz w:val="32"/>
          <w:highlight w:val="none"/>
          <w:lang w:val="en-US"/>
        </w:rPr>
        <w:t>电价</w:t>
      </w:r>
      <w:r>
        <w:rPr>
          <w:rFonts w:hint="eastAsia" w:eastAsia="方正仿宋_GBK"/>
          <w:sz w:val="32"/>
          <w:highlight w:val="none"/>
          <w:lang w:val="en-US" w:eastAsia="zh-CN"/>
        </w:rPr>
        <w:t>、输电断面约束及阻塞情况</w:t>
      </w:r>
      <w:r>
        <w:rPr>
          <w:rFonts w:hint="eastAsia" w:eastAsia="方正仿宋_GBK"/>
          <w:sz w:val="32"/>
          <w:highlight w:val="none"/>
          <w:lang w:val="en-US"/>
        </w:rPr>
        <w:t>等</w:t>
      </w:r>
      <w:r>
        <w:rPr>
          <w:rFonts w:eastAsia="方正仿宋_GBK"/>
          <w:sz w:val="32"/>
          <w:highlight w:val="none"/>
        </w:rPr>
        <w:t>。</w:t>
      </w:r>
    </w:p>
    <w:p>
      <w:pPr>
        <w:pStyle w:val="18"/>
        <w:numPr>
          <w:ilvl w:val="0"/>
          <w:numId w:val="19"/>
        </w:numPr>
        <w:spacing w:line="560" w:lineRule="exact"/>
        <w:ind w:firstLine="584"/>
        <w:rPr>
          <w:rFonts w:eastAsia="方正仿宋_GBK"/>
          <w:sz w:val="32"/>
          <w:highlight w:val="none"/>
          <w:lang w:val="en-US"/>
        </w:rPr>
      </w:pPr>
      <w:r>
        <w:rPr>
          <w:rFonts w:hint="eastAsia" w:eastAsia="方正仿宋_GBK"/>
          <w:sz w:val="32"/>
          <w:highlight w:val="none"/>
          <w:lang w:val="en-US"/>
        </w:rPr>
        <w:t>应急调度信息，包括启动原因、起止时间、执行结果等。</w:t>
      </w:r>
    </w:p>
    <w:p>
      <w:pPr>
        <w:pStyle w:val="18"/>
        <w:numPr>
          <w:ilvl w:val="0"/>
          <w:numId w:val="19"/>
        </w:numPr>
        <w:spacing w:line="560" w:lineRule="exact"/>
        <w:ind w:firstLine="600"/>
        <w:rPr>
          <w:rFonts w:eastAsia="方正仿宋_GBK"/>
          <w:sz w:val="32"/>
          <w:highlight w:val="none"/>
        </w:rPr>
      </w:pPr>
      <w:r>
        <w:rPr>
          <w:rFonts w:eastAsia="方正仿宋_GBK"/>
          <w:sz w:val="32"/>
          <w:highlight w:val="none"/>
        </w:rPr>
        <w:t>运行信息，包括</w:t>
      </w:r>
      <w:r>
        <w:rPr>
          <w:rFonts w:hint="eastAsia" w:eastAsia="方正仿宋_GBK"/>
          <w:sz w:val="32"/>
          <w:highlight w:val="none"/>
          <w:lang w:val="en-US" w:eastAsia="zh-CN"/>
        </w:rPr>
        <w:t>机组状态、</w:t>
      </w:r>
      <w:r>
        <w:rPr>
          <w:rFonts w:eastAsia="方正仿宋_GBK"/>
          <w:sz w:val="32"/>
          <w:highlight w:val="none"/>
        </w:rPr>
        <w:t>实际负荷</w:t>
      </w:r>
      <w:r>
        <w:rPr>
          <w:rFonts w:hint="eastAsia" w:eastAsia="方正仿宋_GBK"/>
          <w:sz w:val="32"/>
          <w:highlight w:val="none"/>
        </w:rPr>
        <w:t>、</w:t>
      </w:r>
      <w:r>
        <w:rPr>
          <w:rFonts w:eastAsia="方正仿宋_GBK"/>
          <w:sz w:val="32"/>
          <w:highlight w:val="none"/>
        </w:rPr>
        <w:t>系统备用信息，重要通道实际输电情况</w:t>
      </w:r>
      <w:r>
        <w:rPr>
          <w:rFonts w:hint="eastAsia" w:eastAsia="方正仿宋_GBK"/>
          <w:sz w:val="32"/>
          <w:highlight w:val="none"/>
        </w:rPr>
        <w:t>，</w:t>
      </w:r>
      <w:r>
        <w:rPr>
          <w:rFonts w:eastAsia="方正仿宋_GBK"/>
          <w:sz w:val="32"/>
          <w:highlight w:val="none"/>
        </w:rPr>
        <w:t>实际运行</w:t>
      </w:r>
      <w:r>
        <w:rPr>
          <w:rFonts w:eastAsia="方正仿宋_GBK"/>
          <w:sz w:val="32"/>
          <w:highlight w:val="none"/>
          <w:lang w:val="en-US"/>
        </w:rPr>
        <w:t>输电</w:t>
      </w:r>
      <w:r>
        <w:rPr>
          <w:rFonts w:eastAsia="方正仿宋_GBK"/>
          <w:sz w:val="32"/>
          <w:highlight w:val="none"/>
        </w:rPr>
        <w:t>断面约束情况</w:t>
      </w:r>
      <w:r>
        <w:rPr>
          <w:rFonts w:hint="eastAsia" w:eastAsia="方正仿宋_GBK"/>
          <w:sz w:val="32"/>
          <w:highlight w:val="none"/>
        </w:rPr>
        <w:t>，</w:t>
      </w:r>
      <w:r>
        <w:rPr>
          <w:rFonts w:hint="eastAsia" w:eastAsia="方正仿宋_GBK"/>
          <w:sz w:val="32"/>
          <w:highlight w:val="none"/>
          <w:lang w:val="en-US" w:eastAsia="zh-CN"/>
        </w:rPr>
        <w:t>省间</w:t>
      </w:r>
      <w:r>
        <w:rPr>
          <w:rFonts w:eastAsia="方正仿宋_GBK"/>
          <w:sz w:val="32"/>
          <w:highlight w:val="none"/>
        </w:rPr>
        <w:t>联络线潮流，</w:t>
      </w:r>
      <w:r>
        <w:rPr>
          <w:rFonts w:hint="eastAsia" w:eastAsia="方正仿宋_GBK"/>
          <w:sz w:val="32"/>
          <w:highlight w:val="none"/>
          <w:lang w:val="en-US"/>
        </w:rPr>
        <w:t>重要线路与变压器平均潮流，发</w:t>
      </w:r>
      <w:r>
        <w:rPr>
          <w:rFonts w:eastAsia="方正仿宋_GBK"/>
          <w:sz w:val="32"/>
          <w:highlight w:val="none"/>
        </w:rPr>
        <w:t>输变电设备检修计划执行情况</w:t>
      </w:r>
      <w:r>
        <w:rPr>
          <w:rFonts w:hint="eastAsia" w:eastAsia="方正仿宋_GBK"/>
          <w:sz w:val="32"/>
          <w:highlight w:val="none"/>
        </w:rPr>
        <w:t>，</w:t>
      </w:r>
      <w:r>
        <w:rPr>
          <w:rFonts w:hint="eastAsia" w:eastAsia="方正仿宋_GBK"/>
          <w:sz w:val="32"/>
          <w:highlight w:val="none"/>
          <w:lang w:val="en-US"/>
        </w:rPr>
        <w:t>重要线路非计划停运情况，发电机组非计划停运情况、</w:t>
      </w:r>
      <w:r>
        <w:rPr>
          <w:rFonts w:eastAsia="方正仿宋_GBK"/>
          <w:sz w:val="32"/>
          <w:highlight w:val="none"/>
        </w:rPr>
        <w:t>非市场机组实际出力曲线</w:t>
      </w:r>
      <w:r>
        <w:rPr>
          <w:rFonts w:hint="eastAsia" w:eastAsia="方正仿宋_GBK"/>
          <w:sz w:val="32"/>
          <w:highlight w:val="none"/>
        </w:rPr>
        <w:t>，</w:t>
      </w:r>
      <w:r>
        <w:rPr>
          <w:rFonts w:hint="eastAsia" w:eastAsia="方正仿宋_GBK"/>
          <w:sz w:val="32"/>
          <w:highlight w:val="none"/>
          <w:lang w:val="en-US"/>
        </w:rPr>
        <w:t>月度发用电负荷总体情况</w:t>
      </w:r>
      <w:r>
        <w:rPr>
          <w:rFonts w:eastAsia="方正仿宋_GBK"/>
          <w:sz w:val="32"/>
          <w:highlight w:val="none"/>
        </w:rPr>
        <w:t>等。</w:t>
      </w:r>
    </w:p>
    <w:p>
      <w:pPr>
        <w:pStyle w:val="18"/>
        <w:numPr>
          <w:ilvl w:val="0"/>
          <w:numId w:val="19"/>
        </w:numPr>
        <w:spacing w:line="560" w:lineRule="exact"/>
        <w:ind w:firstLine="600"/>
        <w:rPr>
          <w:rFonts w:eastAsia="方正仿宋_GBK"/>
          <w:sz w:val="32"/>
          <w:highlight w:val="none"/>
        </w:rPr>
      </w:pPr>
      <w:r>
        <w:rPr>
          <w:rFonts w:hint="eastAsia" w:eastAsia="方正仿宋_GBK"/>
          <w:sz w:val="32"/>
          <w:highlight w:val="none"/>
          <w:lang w:val="en-US" w:eastAsia="zh-CN"/>
        </w:rPr>
        <w:t>市场</w:t>
      </w:r>
      <w:r>
        <w:rPr>
          <w:rFonts w:eastAsia="方正仿宋_GBK"/>
          <w:sz w:val="32"/>
          <w:highlight w:val="none"/>
        </w:rPr>
        <w:t>结算</w:t>
      </w:r>
      <w:r>
        <w:rPr>
          <w:rFonts w:hint="eastAsia" w:eastAsia="方正仿宋_GBK"/>
          <w:sz w:val="32"/>
          <w:highlight w:val="none"/>
          <w:lang w:val="en-US" w:eastAsia="zh-CN"/>
        </w:rPr>
        <w:t>总体</w:t>
      </w:r>
      <w:r>
        <w:rPr>
          <w:rFonts w:eastAsia="方正仿宋_GBK"/>
          <w:sz w:val="32"/>
          <w:highlight w:val="none"/>
        </w:rPr>
        <w:t>情况，</w:t>
      </w:r>
      <w:r>
        <w:rPr>
          <w:rFonts w:hint="eastAsia" w:eastAsia="方正仿宋_GBK"/>
          <w:sz w:val="32"/>
          <w:highlight w:val="none"/>
          <w:lang w:val="en-US"/>
        </w:rPr>
        <w:t>包括结算总量、均价及分类构成情况，</w:t>
      </w:r>
      <w:r>
        <w:rPr>
          <w:rFonts w:hint="eastAsia" w:eastAsia="方正仿宋_GBK"/>
          <w:sz w:val="32"/>
          <w:highlight w:val="none"/>
          <w:lang w:val="en-US" w:eastAsia="zh-CN"/>
        </w:rPr>
        <w:t>绿电、绿证交易结算情况，省间交易结算</w:t>
      </w:r>
      <w:r>
        <w:rPr>
          <w:rFonts w:hint="eastAsia" w:eastAsia="方正仿宋_GBK"/>
          <w:sz w:val="32"/>
          <w:highlight w:val="none"/>
          <w:lang w:val="en-US"/>
        </w:rPr>
        <w:t>情况，</w:t>
      </w:r>
      <w:r>
        <w:rPr>
          <w:rFonts w:hint="eastAsia" w:eastAsia="方正仿宋_GBK"/>
          <w:sz w:val="32"/>
          <w:highlight w:val="none"/>
        </w:rPr>
        <w:t>不平衡资金构成、分摊和分享情况</w:t>
      </w:r>
      <w:r>
        <w:rPr>
          <w:rFonts w:hint="eastAsia" w:eastAsia="方正仿宋_GBK"/>
          <w:sz w:val="32"/>
          <w:highlight w:val="none"/>
          <w:lang w:val="en-US" w:eastAsia="zh-CN"/>
        </w:rPr>
        <w:t>，偏差考核情况</w:t>
      </w:r>
      <w:r>
        <w:rPr>
          <w:rFonts w:eastAsia="方正仿宋_GBK"/>
          <w:sz w:val="32"/>
          <w:highlight w:val="none"/>
        </w:rPr>
        <w:t>等。</w:t>
      </w:r>
    </w:p>
    <w:p>
      <w:pPr>
        <w:pStyle w:val="18"/>
        <w:numPr>
          <w:ilvl w:val="0"/>
          <w:numId w:val="19"/>
        </w:numPr>
        <w:spacing w:line="560" w:lineRule="exact"/>
        <w:ind w:firstLine="600"/>
        <w:rPr>
          <w:rFonts w:eastAsia="方正仿宋_GBK"/>
          <w:sz w:val="32"/>
          <w:highlight w:val="none"/>
          <w:lang w:val="en-US"/>
        </w:rPr>
      </w:pPr>
      <w:r>
        <w:rPr>
          <w:rFonts w:hint="default" w:eastAsia="方正仿宋_GBK"/>
          <w:sz w:val="32"/>
          <w:highlight w:val="none"/>
          <w:lang w:val="en-US"/>
        </w:rPr>
        <w:t>电力</w:t>
      </w:r>
      <w:r>
        <w:rPr>
          <w:rFonts w:hint="eastAsia" w:eastAsia="方正仿宋_GBK"/>
          <w:sz w:val="32"/>
          <w:highlight w:val="none"/>
          <w:lang w:val="en-US"/>
        </w:rPr>
        <w:t>并网运行管理考核和返还明细情况</w:t>
      </w:r>
      <w:r>
        <w:rPr>
          <w:rFonts w:hint="eastAsia" w:eastAsia="方正仿宋_GBK"/>
          <w:sz w:val="32"/>
          <w:highlight w:val="none"/>
          <w:lang w:val="en-US" w:eastAsia="zh-CN"/>
        </w:rPr>
        <w:t>，包括各并网主体分考核种类的考核费用、返还费用、免考核情况等。</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电力辅助服务考核、补偿、分摊明细情况，</w:t>
      </w:r>
      <w:r>
        <w:rPr>
          <w:rFonts w:hint="eastAsia" w:eastAsia="方正仿宋_GBK"/>
          <w:sz w:val="32"/>
          <w:highlight w:val="none"/>
          <w:lang w:val="en-US" w:eastAsia="zh-CN"/>
        </w:rPr>
        <w:t>包括各市场经营主体分辅助服务品种的电量/容量、补偿费用、考核费用、分摊比例、分摊费用等。</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售电公司</w:t>
      </w:r>
      <w:r>
        <w:rPr>
          <w:rFonts w:hint="eastAsia" w:eastAsia="方正仿宋_GBK"/>
          <w:sz w:val="32"/>
          <w:highlight w:val="none"/>
          <w:lang w:val="en-US" w:eastAsia="zh-CN"/>
        </w:rPr>
        <w:t>总体</w:t>
      </w:r>
      <w:r>
        <w:rPr>
          <w:rFonts w:hint="eastAsia" w:eastAsia="方正仿宋_GBK"/>
          <w:sz w:val="32"/>
          <w:highlight w:val="none"/>
          <w:lang w:val="en-US"/>
        </w:rPr>
        <w:t>经营情况，包括售电公司</w:t>
      </w:r>
      <w:r>
        <w:rPr>
          <w:rFonts w:hint="eastAsia" w:eastAsia="方正仿宋_GBK"/>
          <w:sz w:val="32"/>
          <w:highlight w:val="none"/>
          <w:lang w:val="en-US" w:eastAsia="zh-CN"/>
        </w:rPr>
        <w:t>总</w:t>
      </w:r>
      <w:r>
        <w:rPr>
          <w:rFonts w:hint="eastAsia" w:eastAsia="方正仿宋_GBK"/>
          <w:sz w:val="32"/>
          <w:highlight w:val="none"/>
          <w:lang w:val="en-US"/>
        </w:rPr>
        <w:t>代理电量、</w:t>
      </w:r>
      <w:r>
        <w:rPr>
          <w:rFonts w:hint="eastAsia" w:eastAsia="方正仿宋_GBK"/>
          <w:sz w:val="32"/>
          <w:highlight w:val="none"/>
          <w:lang w:val="en-US" w:eastAsia="zh-CN"/>
        </w:rPr>
        <w:t>户数、</w:t>
      </w:r>
      <w:r>
        <w:rPr>
          <w:rFonts w:hint="eastAsia" w:eastAsia="方正仿宋_GBK"/>
          <w:sz w:val="32"/>
          <w:highlight w:val="none"/>
          <w:lang w:val="en-US"/>
        </w:rPr>
        <w:t>批发侧及零售侧结算均价信息，</w:t>
      </w:r>
      <w:r>
        <w:rPr>
          <w:rFonts w:hint="eastAsia" w:eastAsia="方正仿宋_GBK"/>
          <w:sz w:val="32"/>
          <w:highlight w:val="none"/>
          <w:lang w:val="en-US" w:eastAsia="zh-CN"/>
        </w:rPr>
        <w:t>各</w:t>
      </w:r>
      <w:r>
        <w:rPr>
          <w:rFonts w:hint="eastAsia" w:eastAsia="方正仿宋_GBK"/>
          <w:sz w:val="32"/>
          <w:highlight w:val="none"/>
          <w:lang w:val="en-US"/>
        </w:rPr>
        <w:t xml:space="preserve">售电公司履约保障凭证缴纳、执行情况、结合资产总额确定的售电量规模限额。 </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eastAsia="zh-CN"/>
        </w:rPr>
        <w:t>交易总体情况，包括</w:t>
      </w:r>
      <w:r>
        <w:rPr>
          <w:rFonts w:hint="eastAsia" w:eastAsia="方正仿宋_GBK"/>
          <w:sz w:val="32"/>
          <w:highlight w:val="none"/>
        </w:rPr>
        <w:t>年度、月度、月内</w:t>
      </w:r>
      <w:r>
        <w:rPr>
          <w:rFonts w:hint="eastAsia" w:eastAsia="方正仿宋_GBK"/>
          <w:sz w:val="32"/>
          <w:highlight w:val="none"/>
          <w:lang w:eastAsia="zh-CN"/>
        </w:rPr>
        <w:t>、</w:t>
      </w:r>
      <w:r>
        <w:rPr>
          <w:rFonts w:hint="eastAsia" w:eastAsia="方正仿宋_GBK"/>
          <w:sz w:val="32"/>
          <w:highlight w:val="none"/>
          <w:lang w:val="en-US" w:eastAsia="zh-CN"/>
        </w:rPr>
        <w:t>现货交易成交均价及电量</w:t>
      </w:r>
      <w:r>
        <w:rPr>
          <w:rFonts w:hint="eastAsia" w:eastAsia="方正仿宋_GBK"/>
          <w:sz w:val="32"/>
          <w:highlight w:val="none"/>
        </w:rPr>
        <w:t>。</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eastAsia="zh-CN"/>
        </w:rPr>
        <w:t>发电机组转商情况，包括发电机组、独立储能完成整套设备启动试运行时间。</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eastAsia="zh-CN"/>
        </w:rPr>
        <w:t>到期未取得电力业务许可证的市场经营主体名单。</w:t>
      </w:r>
    </w:p>
    <w:p>
      <w:pPr>
        <w:pStyle w:val="18"/>
        <w:numPr>
          <w:ilvl w:val="0"/>
          <w:numId w:val="19"/>
        </w:numPr>
        <w:spacing w:line="560" w:lineRule="exact"/>
        <w:ind w:firstLine="600"/>
        <w:rPr>
          <w:rFonts w:eastAsia="方正仿宋_GBK"/>
          <w:sz w:val="32"/>
          <w:highlight w:val="none"/>
          <w:lang w:val="en-US"/>
        </w:rPr>
      </w:pPr>
      <w:r>
        <w:rPr>
          <w:rFonts w:hint="eastAsia" w:eastAsia="方正仿宋_GBK"/>
          <w:sz w:val="32"/>
          <w:highlight w:val="none"/>
          <w:lang w:val="en-US"/>
        </w:rPr>
        <w:t>市场干预情况原始日志，包括干预时间、干预主体、干预操作、干预原因，涉及《电力安全事故应急处置和调查处理条例》（中华人民共和国国务院令第599号）规定电力安全事故等级的事故处理情形除外。</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eastAsia="zh-CN"/>
        </w:rPr>
        <w:t>市场运营</w:t>
      </w:r>
      <w:r>
        <w:rPr>
          <w:rFonts w:eastAsia="方正仿宋_GBK"/>
          <w:sz w:val="32"/>
          <w:szCs w:val="32"/>
          <w:highlight w:val="none"/>
        </w:rPr>
        <w:t>机构应当向特定</w:t>
      </w:r>
      <w:r>
        <w:rPr>
          <w:rFonts w:hint="eastAsia" w:eastAsia="方正仿宋_GBK"/>
          <w:sz w:val="32"/>
          <w:szCs w:val="32"/>
          <w:highlight w:val="none"/>
          <w:lang w:eastAsia="zh-CN"/>
        </w:rPr>
        <w:t>市场经营主体</w:t>
      </w:r>
      <w:r>
        <w:rPr>
          <w:rFonts w:eastAsia="方正仿宋_GBK"/>
          <w:sz w:val="32"/>
          <w:szCs w:val="32"/>
          <w:highlight w:val="none"/>
        </w:rPr>
        <w:t>披露</w:t>
      </w:r>
      <w:r>
        <w:rPr>
          <w:rFonts w:hint="eastAsia" w:eastAsia="方正仿宋_GBK"/>
          <w:sz w:val="32"/>
          <w:szCs w:val="32"/>
          <w:highlight w:val="none"/>
        </w:rPr>
        <w:t>的</w:t>
      </w:r>
      <w:r>
        <w:rPr>
          <w:rFonts w:eastAsia="方正仿宋_GBK"/>
          <w:sz w:val="32"/>
          <w:szCs w:val="32"/>
          <w:highlight w:val="none"/>
        </w:rPr>
        <w:t>私有信息包括：</w:t>
      </w:r>
    </w:p>
    <w:p>
      <w:pPr>
        <w:pStyle w:val="18"/>
        <w:numPr>
          <w:ilvl w:val="0"/>
          <w:numId w:val="20"/>
        </w:numPr>
        <w:spacing w:line="560" w:lineRule="exact"/>
        <w:ind w:firstLine="600"/>
        <w:rPr>
          <w:rFonts w:eastAsia="方正仿宋_GBK"/>
          <w:sz w:val="32"/>
          <w:highlight w:val="none"/>
          <w:lang w:val="en-US"/>
        </w:rPr>
      </w:pPr>
      <w:r>
        <w:rPr>
          <w:rFonts w:hint="eastAsia" w:eastAsia="方正仿宋_GBK"/>
          <w:sz w:val="32"/>
          <w:highlight w:val="none"/>
          <w:lang w:val="en-US"/>
        </w:rPr>
        <w:t>成交信息，包括各类交易成交量价信息。</w:t>
      </w:r>
    </w:p>
    <w:p>
      <w:pPr>
        <w:pStyle w:val="18"/>
        <w:numPr>
          <w:ilvl w:val="0"/>
          <w:numId w:val="20"/>
        </w:numPr>
        <w:spacing w:line="560" w:lineRule="exact"/>
        <w:ind w:firstLine="600"/>
        <w:rPr>
          <w:rFonts w:eastAsia="方正仿宋_GBK"/>
          <w:sz w:val="32"/>
          <w:highlight w:val="none"/>
          <w:lang w:val="en-US"/>
        </w:rPr>
      </w:pPr>
      <w:r>
        <w:rPr>
          <w:rFonts w:hint="eastAsia" w:eastAsia="方正仿宋_GBK"/>
          <w:sz w:val="32"/>
          <w:highlight w:val="none"/>
          <w:lang w:val="en-US"/>
        </w:rPr>
        <w:t>日前省内机组预计划。</w:t>
      </w:r>
    </w:p>
    <w:p>
      <w:pPr>
        <w:pStyle w:val="18"/>
        <w:numPr>
          <w:ilvl w:val="0"/>
          <w:numId w:val="20"/>
        </w:numPr>
        <w:spacing w:line="560" w:lineRule="exact"/>
        <w:ind w:firstLine="600"/>
        <w:rPr>
          <w:rFonts w:eastAsia="方正仿宋_GBK"/>
          <w:sz w:val="32"/>
          <w:highlight w:val="none"/>
          <w:lang w:val="en-US"/>
        </w:rPr>
      </w:pPr>
      <w:r>
        <w:rPr>
          <w:rFonts w:hint="eastAsia" w:eastAsia="方正仿宋_GBK"/>
          <w:sz w:val="32"/>
          <w:highlight w:val="none"/>
          <w:lang w:val="en-US"/>
        </w:rPr>
        <w:t>月度</w:t>
      </w:r>
      <w:r>
        <w:rPr>
          <w:rFonts w:eastAsia="方正仿宋_GBK"/>
          <w:sz w:val="32"/>
          <w:highlight w:val="none"/>
        </w:rPr>
        <w:t>交易计划</w:t>
      </w:r>
      <w:r>
        <w:rPr>
          <w:rFonts w:hint="eastAsia" w:eastAsia="方正仿宋_GBK"/>
          <w:sz w:val="32"/>
          <w:highlight w:val="none"/>
          <w:lang w:val="en-US"/>
        </w:rPr>
        <w:t>。</w:t>
      </w:r>
    </w:p>
    <w:p>
      <w:pPr>
        <w:pStyle w:val="18"/>
        <w:numPr>
          <w:ilvl w:val="0"/>
          <w:numId w:val="20"/>
        </w:numPr>
        <w:spacing w:line="560" w:lineRule="exact"/>
        <w:ind w:firstLine="600"/>
        <w:rPr>
          <w:rFonts w:eastAsia="方正仿宋_GBK"/>
          <w:sz w:val="32"/>
          <w:highlight w:val="none"/>
          <w:lang w:val="en-US"/>
        </w:rPr>
      </w:pPr>
      <w:r>
        <w:rPr>
          <w:rFonts w:hint="eastAsia" w:eastAsia="方正仿宋_GBK"/>
          <w:sz w:val="32"/>
          <w:highlight w:val="none"/>
          <w:lang w:val="en-US"/>
        </w:rPr>
        <w:t>结算信息，包括各类交易结算量价信息、绿证划转信息、日清算单</w:t>
      </w:r>
      <w:r>
        <w:rPr>
          <w:rFonts w:hint="eastAsia" w:eastAsia="方正仿宋_GBK"/>
          <w:sz w:val="32"/>
          <w:highlight w:val="none"/>
          <w:lang w:val="en-US" w:eastAsia="zh-CN"/>
        </w:rPr>
        <w:t>（现货市场）</w:t>
      </w:r>
      <w:r>
        <w:rPr>
          <w:rFonts w:hint="eastAsia" w:eastAsia="方正仿宋_GBK"/>
          <w:sz w:val="32"/>
          <w:highlight w:val="none"/>
          <w:lang w:val="en-US"/>
        </w:rPr>
        <w:t>、月结算依据等。</w:t>
      </w:r>
    </w:p>
    <w:p>
      <w:pPr>
        <w:pStyle w:val="18"/>
        <w:numPr>
          <w:ilvl w:val="0"/>
          <w:numId w:val="20"/>
        </w:numPr>
        <w:spacing w:line="560" w:lineRule="exact"/>
        <w:ind w:firstLine="600"/>
        <w:rPr>
          <w:rFonts w:eastAsia="方正仿宋_GBK"/>
          <w:sz w:val="32"/>
          <w:highlight w:val="none"/>
          <w:lang w:val="en-US"/>
        </w:rPr>
      </w:pPr>
      <w:r>
        <w:rPr>
          <w:rFonts w:hint="eastAsia" w:eastAsia="方正仿宋_GBK"/>
          <w:sz w:val="32"/>
          <w:highlight w:val="none"/>
          <w:lang w:val="en-US"/>
        </w:rPr>
        <w:t>争议解决结果。</w:t>
      </w:r>
    </w:p>
    <w:bookmarkEnd w:id="7"/>
    <w:p>
      <w:pPr>
        <w:pStyle w:val="1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0"/>
        <w:textAlignment w:val="auto"/>
        <w:outlineLvl w:val="9"/>
        <w:rPr>
          <w:rFonts w:ascii="方正黑体_GBK" w:hAnsi="方正黑体_GBK" w:eastAsia="方正黑体_GBK"/>
          <w:sz w:val="32"/>
          <w:szCs w:val="32"/>
          <w:highlight w:val="none"/>
        </w:rPr>
      </w:pPr>
    </w:p>
    <w:p>
      <w:pPr>
        <w:pStyle w:val="15"/>
        <w:spacing w:before="0" w:beforeLines="0" w:after="0" w:afterLines="0" w:line="560" w:lineRule="exact"/>
        <w:ind w:left="0" w:firstLine="0"/>
        <w:textAlignment w:val="auto"/>
        <w:rPr>
          <w:rFonts w:ascii="方正黑体_GBK" w:hAnsi="方正黑体_GBK" w:eastAsia="方正黑体_GBK"/>
          <w:sz w:val="32"/>
          <w:szCs w:val="32"/>
          <w:highlight w:val="none"/>
        </w:rPr>
      </w:pPr>
      <w:r>
        <w:rPr>
          <w:rFonts w:ascii="方正黑体_GBK" w:hAnsi="方正黑体_GBK" w:eastAsia="方正黑体_GBK"/>
          <w:sz w:val="32"/>
          <w:szCs w:val="32"/>
          <w:highlight w:val="none"/>
        </w:rPr>
        <w:t>第四章 披露信息调整</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信息调整是指</w:t>
      </w:r>
      <w:r>
        <w:rPr>
          <w:rFonts w:hint="eastAsia" w:eastAsia="方正仿宋_GBK"/>
          <w:sz w:val="32"/>
          <w:szCs w:val="32"/>
          <w:highlight w:val="none"/>
          <w:lang w:eastAsia="zh-CN"/>
        </w:rPr>
        <w:t>市场经营主体</w:t>
      </w:r>
      <w:r>
        <w:rPr>
          <w:rFonts w:hint="eastAsia" w:eastAsia="方正仿宋_GBK"/>
          <w:sz w:val="32"/>
          <w:szCs w:val="32"/>
          <w:highlight w:val="none"/>
        </w:rPr>
        <w:t>扩增或变更本规则规定披露的信息，包括新增披露信息，变更披露内容、披露范围</w:t>
      </w:r>
      <w:r>
        <w:rPr>
          <w:rFonts w:eastAsia="方正仿宋_GBK"/>
          <w:sz w:val="32"/>
          <w:szCs w:val="32"/>
          <w:highlight w:val="none"/>
        </w:rPr>
        <w:t>、披露周期</w:t>
      </w:r>
      <w:r>
        <w:rPr>
          <w:rFonts w:hint="eastAsia" w:eastAsia="方正仿宋_GBK"/>
          <w:sz w:val="32"/>
          <w:szCs w:val="32"/>
          <w:highlight w:val="none"/>
        </w:rPr>
        <w:t>等。</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eastAsia="zh-CN"/>
        </w:rPr>
        <w:t>市场经营主体</w:t>
      </w:r>
      <w:r>
        <w:rPr>
          <w:rFonts w:eastAsia="方正仿宋_GBK"/>
          <w:sz w:val="32"/>
          <w:szCs w:val="32"/>
          <w:highlight w:val="none"/>
        </w:rPr>
        <w:t>可申请扩增</w:t>
      </w:r>
      <w:r>
        <w:rPr>
          <w:rFonts w:hint="eastAsia" w:eastAsia="方正仿宋_GBK"/>
          <w:sz w:val="32"/>
          <w:szCs w:val="32"/>
          <w:highlight w:val="none"/>
        </w:rPr>
        <w:t>或变更</w:t>
      </w:r>
      <w:r>
        <w:rPr>
          <w:rFonts w:eastAsia="方正仿宋_GBK"/>
          <w:sz w:val="32"/>
          <w:szCs w:val="32"/>
          <w:highlight w:val="none"/>
        </w:rPr>
        <w:t>信息</w:t>
      </w:r>
      <w:r>
        <w:rPr>
          <w:rFonts w:hint="eastAsia" w:eastAsia="方正仿宋_GBK"/>
          <w:sz w:val="32"/>
          <w:szCs w:val="32"/>
          <w:highlight w:val="none"/>
        </w:rPr>
        <w:t>，</w:t>
      </w:r>
      <w:r>
        <w:rPr>
          <w:rFonts w:eastAsia="方正仿宋_GBK"/>
          <w:sz w:val="32"/>
          <w:szCs w:val="32"/>
          <w:highlight w:val="none"/>
        </w:rPr>
        <w:t>申请人应当将申请发送至电力交易机构，内容应包括扩增</w:t>
      </w:r>
      <w:r>
        <w:rPr>
          <w:rFonts w:hint="eastAsia" w:eastAsia="方正仿宋_GBK"/>
          <w:sz w:val="32"/>
          <w:szCs w:val="32"/>
          <w:highlight w:val="none"/>
        </w:rPr>
        <w:t>或变更</w:t>
      </w:r>
      <w:r>
        <w:rPr>
          <w:rFonts w:eastAsia="方正仿宋_GBK"/>
          <w:sz w:val="32"/>
          <w:szCs w:val="32"/>
          <w:highlight w:val="none"/>
        </w:rPr>
        <w:t>信息内容、披露范围、披露周期、必要性描述、申请主体</w:t>
      </w:r>
      <w:r>
        <w:rPr>
          <w:rFonts w:hint="eastAsia" w:eastAsia="方正仿宋_GBK"/>
          <w:sz w:val="32"/>
          <w:szCs w:val="32"/>
          <w:highlight w:val="none"/>
        </w:rPr>
        <w:t>名称</w:t>
      </w:r>
      <w:r>
        <w:rPr>
          <w:rFonts w:eastAsia="方正仿宋_GBK"/>
          <w:sz w:val="32"/>
          <w:szCs w:val="32"/>
          <w:highlight w:val="none"/>
        </w:rPr>
        <w:t>、联系方式等。</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电力交易机构收到</w:t>
      </w:r>
      <w:r>
        <w:rPr>
          <w:rFonts w:hint="eastAsia" w:eastAsia="方正仿宋_GBK"/>
          <w:sz w:val="32"/>
          <w:szCs w:val="32"/>
          <w:highlight w:val="none"/>
        </w:rPr>
        <w:t>扩增或变更</w:t>
      </w:r>
      <w:r>
        <w:rPr>
          <w:rFonts w:eastAsia="方正仿宋_GBK"/>
          <w:sz w:val="32"/>
          <w:szCs w:val="32"/>
          <w:highlight w:val="none"/>
        </w:rPr>
        <w:t>信息披露申请后</w:t>
      </w:r>
      <w:r>
        <w:rPr>
          <w:rFonts w:hint="eastAsia" w:eastAsia="方正仿宋_GBK"/>
          <w:szCs w:val="32"/>
          <w:highlight w:val="none"/>
        </w:rPr>
        <w:t>在交易平台发布相关信息</w:t>
      </w:r>
      <w:r>
        <w:rPr>
          <w:rFonts w:hint="eastAsia" w:eastAsia="方正仿宋_GBK"/>
          <w:szCs w:val="32"/>
          <w:highlight w:val="none"/>
          <w:lang w:eastAsia="zh-CN"/>
        </w:rPr>
        <w:t>，</w:t>
      </w:r>
      <w:r>
        <w:rPr>
          <w:rFonts w:hint="eastAsia" w:eastAsia="方正仿宋_GBK"/>
          <w:szCs w:val="32"/>
          <w:highlight w:val="none"/>
          <w:lang w:val="en-US" w:eastAsia="zh-CN"/>
        </w:rPr>
        <w:t>征求市场经营主体意见</w:t>
      </w:r>
      <w:r>
        <w:rPr>
          <w:rFonts w:hint="eastAsia" w:eastAsia="方正仿宋_GBK"/>
          <w:szCs w:val="32"/>
          <w:highlight w:val="none"/>
          <w:lang w:eastAsia="zh-CN"/>
        </w:rPr>
        <w:t>。</w:t>
      </w:r>
      <w:r>
        <w:rPr>
          <w:rFonts w:hint="eastAsia" w:eastAsia="方正仿宋_GBK"/>
          <w:szCs w:val="32"/>
          <w:highlight w:val="none"/>
        </w:rPr>
        <w:t>受影响的</w:t>
      </w:r>
      <w:r>
        <w:rPr>
          <w:rFonts w:hint="eastAsia" w:eastAsia="方正仿宋_GBK"/>
          <w:szCs w:val="32"/>
          <w:highlight w:val="none"/>
          <w:lang w:eastAsia="zh-CN"/>
        </w:rPr>
        <w:t>市场经营主体</w:t>
      </w:r>
      <w:r>
        <w:rPr>
          <w:rFonts w:hint="eastAsia" w:eastAsia="方正仿宋_GBK"/>
          <w:szCs w:val="32"/>
          <w:highlight w:val="none"/>
        </w:rPr>
        <w:t>在信息发布后</w:t>
      </w:r>
      <w:r>
        <w:rPr>
          <w:rFonts w:hint="eastAsia" w:eastAsia="方正仿宋_GBK"/>
          <w:szCs w:val="32"/>
          <w:highlight w:val="none"/>
          <w:lang w:val="en-US" w:eastAsia="zh-CN"/>
        </w:rPr>
        <w:t>7</w:t>
      </w:r>
      <w:r>
        <w:rPr>
          <w:rFonts w:hint="eastAsia" w:eastAsia="方正仿宋_GBK"/>
          <w:szCs w:val="32"/>
          <w:highlight w:val="none"/>
        </w:rPr>
        <w:t>个工作日反馈意见，</w:t>
      </w:r>
      <w:r>
        <w:rPr>
          <w:rFonts w:hint="eastAsia" w:eastAsia="方正仿宋_GBK"/>
          <w:szCs w:val="32"/>
          <w:highlight w:val="none"/>
          <w:lang w:val="en-US" w:eastAsia="zh-CN"/>
        </w:rPr>
        <w:t>电力交易机构汇总各市场经营主体的反馈意见并</w:t>
      </w:r>
      <w:r>
        <w:rPr>
          <w:rFonts w:hint="eastAsia" w:eastAsia="方正仿宋_GBK"/>
          <w:szCs w:val="32"/>
          <w:highlight w:val="none"/>
        </w:rPr>
        <w:t>形成初步</w:t>
      </w:r>
      <w:r>
        <w:rPr>
          <w:rFonts w:hint="eastAsia" w:eastAsia="方正仿宋_GBK"/>
          <w:szCs w:val="32"/>
          <w:highlight w:val="none"/>
          <w:lang w:val="en-US" w:eastAsia="zh-CN"/>
        </w:rPr>
        <w:t>审核建议，</w:t>
      </w:r>
      <w:r>
        <w:rPr>
          <w:rFonts w:eastAsia="方正仿宋_GBK"/>
          <w:sz w:val="32"/>
          <w:szCs w:val="32"/>
          <w:highlight w:val="none"/>
        </w:rPr>
        <w:t>报</w:t>
      </w:r>
      <w:r>
        <w:rPr>
          <w:rFonts w:hint="eastAsia" w:eastAsia="方正仿宋_GBK"/>
          <w:sz w:val="32"/>
          <w:szCs w:val="32"/>
          <w:highlight w:val="none"/>
        </w:rPr>
        <w:t>国家能源局或其派出机构</w:t>
      </w:r>
      <w:r>
        <w:rPr>
          <w:rFonts w:eastAsia="方正仿宋_GBK"/>
          <w:sz w:val="32"/>
          <w:szCs w:val="32"/>
          <w:highlight w:val="none"/>
        </w:rPr>
        <w:t>审核，审核结果通过信息披露平台公示。</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申请</w:t>
      </w:r>
      <w:r>
        <w:rPr>
          <w:rFonts w:hint="eastAsia" w:eastAsia="方正仿宋_GBK"/>
          <w:sz w:val="32"/>
          <w:szCs w:val="32"/>
          <w:highlight w:val="none"/>
        </w:rPr>
        <w:t>审核通过</w:t>
      </w:r>
      <w:r>
        <w:rPr>
          <w:rFonts w:eastAsia="方正仿宋_GBK"/>
          <w:sz w:val="32"/>
          <w:szCs w:val="32"/>
          <w:highlight w:val="none"/>
        </w:rPr>
        <w:t>后，电力交易机构组织相关</w:t>
      </w:r>
      <w:r>
        <w:rPr>
          <w:rFonts w:hint="eastAsia" w:eastAsia="方正仿宋_GBK"/>
          <w:sz w:val="32"/>
          <w:szCs w:val="32"/>
          <w:highlight w:val="none"/>
        </w:rPr>
        <w:t>信息披露主体</w:t>
      </w:r>
      <w:r>
        <w:rPr>
          <w:rFonts w:eastAsia="方正仿宋_GBK"/>
          <w:sz w:val="32"/>
          <w:szCs w:val="32"/>
          <w:highlight w:val="none"/>
        </w:rPr>
        <w:t>开展披露</w:t>
      </w:r>
      <w:r>
        <w:rPr>
          <w:rFonts w:hint="eastAsia" w:eastAsia="方正仿宋_GBK"/>
          <w:sz w:val="32"/>
          <w:szCs w:val="32"/>
          <w:highlight w:val="none"/>
        </w:rPr>
        <w:t>工作</w:t>
      </w:r>
      <w:r>
        <w:rPr>
          <w:rFonts w:eastAsia="方正仿宋_GBK"/>
          <w:sz w:val="32"/>
          <w:szCs w:val="32"/>
          <w:highlight w:val="none"/>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val="en-US" w:eastAsia="zh-CN"/>
        </w:rPr>
        <w:t>现货市场信息如有变更应及时发布变更说明。</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0"/>
        <w:textAlignment w:val="auto"/>
        <w:outlineLvl w:val="9"/>
        <w:rPr>
          <w:rFonts w:ascii="方正黑体_GBK" w:hAnsi="方正黑体_GBK" w:eastAsia="方正黑体_GBK"/>
          <w:sz w:val="32"/>
          <w:szCs w:val="32"/>
          <w:highlight w:val="none"/>
        </w:rPr>
      </w:pPr>
    </w:p>
    <w:p>
      <w:pPr>
        <w:pStyle w:val="15"/>
        <w:spacing w:before="0" w:beforeLines="0" w:after="0" w:afterLines="0" w:line="560" w:lineRule="exact"/>
        <w:ind w:left="0" w:firstLine="0"/>
        <w:textAlignment w:val="auto"/>
        <w:rPr>
          <w:rFonts w:ascii="方正黑体_GBK" w:hAnsi="方正黑体_GBK" w:eastAsia="方正黑体_GBK"/>
          <w:sz w:val="32"/>
          <w:szCs w:val="32"/>
          <w:highlight w:val="none"/>
        </w:rPr>
      </w:pPr>
      <w:r>
        <w:rPr>
          <w:rFonts w:ascii="方正黑体_GBK" w:hAnsi="方正黑体_GBK" w:eastAsia="方正黑体_GBK"/>
          <w:sz w:val="32"/>
          <w:szCs w:val="32"/>
          <w:highlight w:val="none"/>
        </w:rPr>
        <w:t xml:space="preserve">第五章 </w:t>
      </w:r>
      <w:r>
        <w:rPr>
          <w:rFonts w:hint="eastAsia" w:ascii="方正黑体_GBK" w:hAnsi="方正黑体_GBK" w:eastAsia="方正黑体_GBK"/>
          <w:sz w:val="32"/>
          <w:szCs w:val="32"/>
          <w:highlight w:val="none"/>
        </w:rPr>
        <w:t>信息</w:t>
      </w:r>
      <w:r>
        <w:rPr>
          <w:rFonts w:ascii="方正黑体_GBK" w:hAnsi="方正黑体_GBK" w:eastAsia="方正黑体_GBK"/>
          <w:sz w:val="32"/>
          <w:szCs w:val="32"/>
          <w:highlight w:val="none"/>
        </w:rPr>
        <w:t>保密和封存</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信息披露</w:t>
      </w:r>
      <w:r>
        <w:rPr>
          <w:rFonts w:eastAsia="方正仿宋_GBK"/>
          <w:sz w:val="32"/>
          <w:szCs w:val="32"/>
          <w:highlight w:val="none"/>
        </w:rPr>
        <w:t>主体</w:t>
      </w:r>
      <w:r>
        <w:rPr>
          <w:rFonts w:hint="eastAsia" w:eastAsia="方正仿宋_GBK"/>
          <w:sz w:val="32"/>
          <w:szCs w:val="32"/>
          <w:highlight w:val="none"/>
          <w:lang w:eastAsia="zh-CN"/>
        </w:rPr>
        <w:t>在披露、查阅信息之前应在信息披露平台签订信息披露承诺书。信息披露承诺书中应明确信息安全保密责任与义务等条款。</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任何</w:t>
      </w:r>
      <w:r>
        <w:rPr>
          <w:rFonts w:hint="eastAsia" w:eastAsia="方正仿宋_GBK"/>
          <w:sz w:val="32"/>
          <w:szCs w:val="32"/>
          <w:highlight w:val="none"/>
          <w:lang w:eastAsia="zh-CN"/>
        </w:rPr>
        <w:t>市场经营主体</w:t>
      </w:r>
      <w:r>
        <w:rPr>
          <w:rFonts w:hint="eastAsia" w:eastAsia="方正仿宋_GBK"/>
          <w:sz w:val="32"/>
          <w:szCs w:val="32"/>
          <w:highlight w:val="none"/>
        </w:rPr>
        <w:t>不得违规获取或者泄露未经授权披露的信息。</w:t>
      </w:r>
      <w:r>
        <w:rPr>
          <w:rFonts w:hint="eastAsia" w:eastAsia="方正仿宋_GBK"/>
          <w:sz w:val="32"/>
          <w:szCs w:val="32"/>
          <w:highlight w:val="none"/>
          <w:lang w:eastAsia="zh-CN"/>
        </w:rPr>
        <w:t>市场经营主体</w:t>
      </w:r>
      <w:r>
        <w:rPr>
          <w:rFonts w:hint="eastAsia" w:eastAsia="方正仿宋_GBK"/>
          <w:sz w:val="32"/>
          <w:szCs w:val="32"/>
          <w:highlight w:val="none"/>
        </w:rPr>
        <w:t>的工作人员未经许可不得公开发表可能影响市场成交结果的言论。</w:t>
      </w:r>
      <w:r>
        <w:rPr>
          <w:rFonts w:hint="eastAsia" w:eastAsia="方正仿宋_GBK"/>
          <w:sz w:val="32"/>
          <w:szCs w:val="32"/>
          <w:highlight w:val="none"/>
          <w:lang w:eastAsia="zh-CN"/>
        </w:rPr>
        <w:t>市场经营主体</w:t>
      </w:r>
      <w:r>
        <w:rPr>
          <w:rFonts w:hint="eastAsia" w:eastAsia="方正仿宋_GBK"/>
          <w:sz w:val="32"/>
          <w:szCs w:val="32"/>
          <w:highlight w:val="none"/>
        </w:rPr>
        <w:t>应当建立健全信息保密管理制度，定期开展保密培训，明确保密责任，必要时应当对办公系统、办公场所采取隔离措施</w:t>
      </w:r>
      <w:r>
        <w:rPr>
          <w:rFonts w:eastAsia="方正仿宋_GBK"/>
          <w:sz w:val="32"/>
          <w:szCs w:val="32"/>
          <w:highlight w:val="none"/>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信息封存是指对关键信息的记录留存。任何有助于还原运行日情况的关键信息应当记录、封存。封存信息包括但不限于：</w:t>
      </w:r>
    </w:p>
    <w:p>
      <w:pPr>
        <w:pStyle w:val="16"/>
        <w:numPr>
          <w:ilvl w:val="0"/>
          <w:numId w:val="0"/>
        </w:numPr>
        <w:spacing w:line="560" w:lineRule="exact"/>
        <w:ind w:firstLine="640" w:firstLineChars="200"/>
        <w:jc w:val="both"/>
        <w:textAlignment w:val="auto"/>
        <w:rPr>
          <w:rFonts w:hint="eastAsia" w:eastAsia="方正仿宋_GBK"/>
          <w:szCs w:val="32"/>
          <w:highlight w:val="none"/>
        </w:rPr>
      </w:pPr>
      <w:r>
        <w:rPr>
          <w:rFonts w:hint="eastAsia" w:eastAsia="方正仿宋_GBK"/>
          <w:szCs w:val="32"/>
          <w:highlight w:val="none"/>
        </w:rPr>
        <w:t>（一）运行日市场出清模型信息。</w:t>
      </w:r>
    </w:p>
    <w:p>
      <w:pPr>
        <w:pStyle w:val="16"/>
        <w:numPr>
          <w:ilvl w:val="0"/>
          <w:numId w:val="0"/>
        </w:numPr>
        <w:spacing w:line="560" w:lineRule="exact"/>
        <w:ind w:firstLine="640" w:firstLineChars="200"/>
        <w:jc w:val="both"/>
        <w:textAlignment w:val="auto"/>
        <w:rPr>
          <w:rFonts w:hint="eastAsia" w:eastAsia="方正仿宋_GBK"/>
          <w:szCs w:val="32"/>
          <w:highlight w:val="none"/>
        </w:rPr>
      </w:pPr>
      <w:r>
        <w:rPr>
          <w:rFonts w:hint="eastAsia" w:eastAsia="方正仿宋_GBK"/>
          <w:szCs w:val="32"/>
          <w:highlight w:val="none"/>
        </w:rPr>
        <w:t>（二）市场申报量价信息。</w:t>
      </w:r>
    </w:p>
    <w:p>
      <w:pPr>
        <w:pStyle w:val="16"/>
        <w:numPr>
          <w:ilvl w:val="0"/>
          <w:numId w:val="0"/>
        </w:numPr>
        <w:spacing w:line="560" w:lineRule="exact"/>
        <w:ind w:firstLine="640" w:firstLineChars="200"/>
        <w:jc w:val="both"/>
        <w:textAlignment w:val="auto"/>
        <w:rPr>
          <w:rFonts w:hint="eastAsia" w:eastAsia="方正仿宋_GBK"/>
          <w:szCs w:val="32"/>
          <w:highlight w:val="none"/>
        </w:rPr>
      </w:pPr>
      <w:r>
        <w:rPr>
          <w:rFonts w:hint="eastAsia" w:eastAsia="方正仿宋_GBK"/>
          <w:szCs w:val="32"/>
          <w:highlight w:val="none"/>
        </w:rPr>
        <w:t>（三）市场边界信息，包括外来（外送）电曲线、检修停运类信息、预测信息、新能源发电曲线、电网约束信息等。</w:t>
      </w:r>
    </w:p>
    <w:p>
      <w:pPr>
        <w:pStyle w:val="16"/>
        <w:numPr>
          <w:ilvl w:val="0"/>
          <w:numId w:val="0"/>
        </w:numPr>
        <w:spacing w:line="560" w:lineRule="exact"/>
        <w:ind w:firstLine="640" w:firstLineChars="200"/>
        <w:jc w:val="both"/>
        <w:textAlignment w:val="auto"/>
        <w:rPr>
          <w:rFonts w:hint="eastAsia" w:eastAsia="方正仿宋_GBK"/>
          <w:szCs w:val="32"/>
          <w:highlight w:val="none"/>
        </w:rPr>
      </w:pPr>
      <w:r>
        <w:rPr>
          <w:rFonts w:hint="eastAsia" w:eastAsia="方正仿宋_GBK"/>
          <w:szCs w:val="32"/>
          <w:highlight w:val="none"/>
        </w:rPr>
        <w:t>（四）市场干预行为，包括修改计划机组出力、修改外来（外送）电出力、修改市场出清参数、修改预设约束条件、调整检修计划、调整既有出清结果等，应当涵盖人工干预时间、干预</w:t>
      </w:r>
      <w:r>
        <w:rPr>
          <w:rFonts w:hint="eastAsia" w:eastAsia="方正仿宋_GBK"/>
          <w:szCs w:val="32"/>
          <w:highlight w:val="none"/>
          <w:lang w:val="en-US" w:eastAsia="zh-CN"/>
        </w:rPr>
        <w:t>主体</w:t>
      </w:r>
      <w:r>
        <w:rPr>
          <w:rFonts w:hint="eastAsia" w:eastAsia="方正仿宋_GBK"/>
          <w:szCs w:val="32"/>
          <w:highlight w:val="none"/>
        </w:rPr>
        <w:t>、干预操作、干预原因等。</w:t>
      </w:r>
    </w:p>
    <w:p>
      <w:pPr>
        <w:pStyle w:val="16"/>
        <w:numPr>
          <w:ilvl w:val="0"/>
          <w:numId w:val="0"/>
        </w:numPr>
        <w:spacing w:line="560" w:lineRule="exact"/>
        <w:ind w:firstLine="640" w:firstLineChars="200"/>
        <w:jc w:val="both"/>
        <w:textAlignment w:val="auto"/>
        <w:rPr>
          <w:rFonts w:hint="eastAsia" w:eastAsia="方正仿宋_GBK"/>
          <w:szCs w:val="32"/>
          <w:highlight w:val="none"/>
        </w:rPr>
      </w:pPr>
      <w:r>
        <w:rPr>
          <w:rFonts w:hint="eastAsia" w:eastAsia="方正仿宋_GBK"/>
          <w:szCs w:val="32"/>
          <w:highlight w:val="none"/>
        </w:rPr>
        <w:t>（五）实时运行数据，包括机组状态、实际负荷等。</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hint="eastAsia" w:eastAsia="方正仿宋_GBK"/>
          <w:szCs w:val="32"/>
          <w:highlight w:val="none"/>
        </w:rPr>
        <w:t>（六）市场结算数据、计量数据</w:t>
      </w:r>
      <w:r>
        <w:rPr>
          <w:rFonts w:eastAsia="方正仿宋_GBK"/>
          <w:sz w:val="32"/>
          <w:szCs w:val="32"/>
          <w:highlight w:val="none"/>
        </w:rPr>
        <w:t>。</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eastAsia="zh-CN"/>
        </w:rPr>
        <w:t>市场运营</w:t>
      </w:r>
      <w:r>
        <w:rPr>
          <w:rFonts w:eastAsia="方正仿宋_GBK"/>
          <w:sz w:val="32"/>
          <w:szCs w:val="32"/>
          <w:highlight w:val="none"/>
        </w:rPr>
        <w:t>机构应当建立市场干预记录管理机制，明确记录保存方式。任何单位或者个人不得违法违规更改已封存信息。市场干预记录应当报</w:t>
      </w:r>
      <w:r>
        <w:rPr>
          <w:rFonts w:hint="eastAsia" w:eastAsia="方正仿宋_GBK"/>
          <w:sz w:val="32"/>
          <w:szCs w:val="32"/>
          <w:highlight w:val="none"/>
        </w:rPr>
        <w:t>国家能源局</w:t>
      </w:r>
      <w:r>
        <w:rPr>
          <w:rFonts w:hint="eastAsia" w:eastAsia="方正仿宋_GBK"/>
          <w:sz w:val="32"/>
          <w:szCs w:val="32"/>
          <w:highlight w:val="none"/>
          <w:lang w:val="en-US" w:eastAsia="zh-CN"/>
        </w:rPr>
        <w:t>或其</w:t>
      </w:r>
      <w:r>
        <w:rPr>
          <w:rFonts w:hint="eastAsia" w:eastAsia="方正仿宋_GBK"/>
          <w:sz w:val="32"/>
          <w:szCs w:val="32"/>
          <w:highlight w:val="none"/>
        </w:rPr>
        <w:t>派出机构</w:t>
      </w:r>
      <w:r>
        <w:rPr>
          <w:rFonts w:eastAsia="方正仿宋_GBK"/>
          <w:sz w:val="32"/>
          <w:szCs w:val="32"/>
          <w:highlight w:val="none"/>
        </w:rPr>
        <w:t>备案，国家能源局</w:t>
      </w:r>
      <w:r>
        <w:rPr>
          <w:rFonts w:hint="eastAsia" w:eastAsia="方正仿宋_GBK"/>
          <w:sz w:val="32"/>
          <w:szCs w:val="32"/>
          <w:highlight w:val="none"/>
          <w:lang w:val="en-US" w:eastAsia="zh-CN"/>
        </w:rPr>
        <w:t>及其</w:t>
      </w:r>
      <w:r>
        <w:rPr>
          <w:rFonts w:eastAsia="方正仿宋_GBK"/>
          <w:sz w:val="32"/>
          <w:szCs w:val="32"/>
          <w:highlight w:val="none"/>
        </w:rPr>
        <w:t>派出机构定期对市场干预行为进行监管，保证市场干预行为的公平性。</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封存的信息应当以易于访问的形式存档，存储系统应当满足访问、数据处理和安全方面的要求。</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信息的封存期限为</w:t>
      </w:r>
      <w:r>
        <w:rPr>
          <w:rFonts w:hint="eastAsia" w:eastAsia="方正仿宋_GBK"/>
          <w:sz w:val="32"/>
          <w:szCs w:val="32"/>
          <w:highlight w:val="none"/>
        </w:rPr>
        <w:t>5</w:t>
      </w:r>
      <w:r>
        <w:rPr>
          <w:rFonts w:eastAsia="方正仿宋_GBK"/>
          <w:sz w:val="32"/>
          <w:szCs w:val="32"/>
          <w:highlight w:val="none"/>
        </w:rPr>
        <w:t>年，特殊情形除外。</w:t>
      </w:r>
    </w:p>
    <w:p>
      <w:pPr>
        <w:pStyle w:val="16"/>
        <w:numPr>
          <w:ilvl w:val="0"/>
          <w:numId w:val="0"/>
        </w:numPr>
        <w:spacing w:line="560" w:lineRule="exact"/>
        <w:ind w:firstLine="640" w:firstLineChars="200"/>
        <w:jc w:val="both"/>
        <w:textAlignment w:val="auto"/>
        <w:rPr>
          <w:rFonts w:eastAsia="方正仿宋_GBK"/>
          <w:sz w:val="32"/>
          <w:szCs w:val="32"/>
          <w:highlight w:val="none"/>
        </w:rPr>
      </w:pPr>
    </w:p>
    <w:p>
      <w:pPr>
        <w:pStyle w:val="15"/>
        <w:spacing w:before="0" w:beforeLines="0" w:after="0" w:afterLines="0" w:line="560" w:lineRule="exact"/>
        <w:ind w:left="0" w:firstLine="0"/>
        <w:textAlignment w:val="auto"/>
        <w:rPr>
          <w:rFonts w:ascii="方正黑体_GBK" w:hAnsi="方正黑体_GBK" w:eastAsia="方正黑体_GBK"/>
          <w:sz w:val="32"/>
          <w:szCs w:val="32"/>
          <w:highlight w:val="none"/>
        </w:rPr>
      </w:pPr>
      <w:bookmarkStart w:id="8" w:name="_Toc22631718"/>
      <w:bookmarkStart w:id="9" w:name="_Hlk22631542"/>
      <w:r>
        <w:rPr>
          <w:rFonts w:ascii="方正黑体_GBK" w:hAnsi="方正黑体_GBK" w:eastAsia="方正黑体_GBK"/>
          <w:sz w:val="32"/>
          <w:szCs w:val="32"/>
          <w:highlight w:val="none"/>
        </w:rPr>
        <w:t>第六</w:t>
      </w:r>
      <w:r>
        <w:rPr>
          <w:rFonts w:hint="eastAsia" w:ascii="方正黑体_GBK" w:hAnsi="方正黑体_GBK" w:eastAsia="方正黑体_GBK"/>
          <w:sz w:val="32"/>
          <w:szCs w:val="32"/>
          <w:highlight w:val="none"/>
        </w:rPr>
        <w:t>章</w:t>
      </w:r>
      <w:bookmarkEnd w:id="8"/>
      <w:bookmarkEnd w:id="9"/>
      <w:bookmarkStart w:id="10" w:name="_Toc22631719"/>
      <w:r>
        <w:rPr>
          <w:rFonts w:hint="eastAsia" w:ascii="方正黑体_GBK" w:hAnsi="方正黑体_GBK" w:eastAsia="方正黑体_GBK"/>
          <w:sz w:val="32"/>
          <w:szCs w:val="32"/>
          <w:highlight w:val="none"/>
        </w:rPr>
        <w:t xml:space="preserve"> 监督</w:t>
      </w:r>
      <w:r>
        <w:rPr>
          <w:rFonts w:ascii="方正黑体_GBK" w:hAnsi="方正黑体_GBK" w:eastAsia="方正黑体_GBK"/>
          <w:sz w:val="32"/>
          <w:szCs w:val="32"/>
          <w:highlight w:val="none"/>
        </w:rPr>
        <w:t>管理</w:t>
      </w:r>
      <w:bookmarkEnd w:id="10"/>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国家能源局及其派出机构</w:t>
      </w:r>
      <w:r>
        <w:rPr>
          <w:rFonts w:eastAsia="方正仿宋_GBK"/>
          <w:sz w:val="32"/>
          <w:szCs w:val="32"/>
          <w:highlight w:val="none"/>
        </w:rPr>
        <w:t>对</w:t>
      </w:r>
      <w:r>
        <w:rPr>
          <w:rFonts w:hint="eastAsia" w:eastAsia="方正仿宋_GBK"/>
          <w:sz w:val="32"/>
          <w:szCs w:val="32"/>
          <w:highlight w:val="none"/>
          <w:lang w:eastAsia="zh-CN"/>
        </w:rPr>
        <w:t>市场经营主体</w:t>
      </w:r>
      <w:r>
        <w:rPr>
          <w:rFonts w:hint="eastAsia" w:eastAsia="方正仿宋_GBK"/>
          <w:sz w:val="32"/>
          <w:szCs w:val="32"/>
          <w:highlight w:val="none"/>
          <w:lang w:val="en-US" w:eastAsia="zh-CN"/>
        </w:rPr>
        <w:t>的</w:t>
      </w:r>
      <w:r>
        <w:rPr>
          <w:rFonts w:hint="eastAsia" w:eastAsia="方正仿宋_GBK"/>
          <w:sz w:val="32"/>
          <w:szCs w:val="32"/>
          <w:highlight w:val="none"/>
        </w:rPr>
        <w:t>信息披露工作</w:t>
      </w:r>
      <w:r>
        <w:rPr>
          <w:rFonts w:eastAsia="方正仿宋_GBK"/>
          <w:sz w:val="32"/>
          <w:szCs w:val="32"/>
          <w:highlight w:val="none"/>
        </w:rPr>
        <w:t>进行监管。</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电力交易机构配合国家能源局及其派出机构开展信息披露监管工作，</w:t>
      </w:r>
      <w:r>
        <w:rPr>
          <w:rFonts w:eastAsia="方正仿宋_GBK"/>
          <w:sz w:val="32"/>
          <w:szCs w:val="32"/>
          <w:highlight w:val="none"/>
        </w:rPr>
        <w:t>对未按本规则披露信息的信息披露主体，采取提醒</w:t>
      </w:r>
      <w:r>
        <w:rPr>
          <w:rFonts w:hint="eastAsia" w:eastAsia="方正仿宋_GBK"/>
          <w:sz w:val="32"/>
          <w:szCs w:val="32"/>
          <w:highlight w:val="none"/>
          <w:lang w:val="en-US" w:eastAsia="zh-CN"/>
        </w:rPr>
        <w:t>信息披露主体</w:t>
      </w:r>
      <w:r>
        <w:rPr>
          <w:rFonts w:eastAsia="方正仿宋_GBK"/>
          <w:sz w:val="32"/>
          <w:szCs w:val="32"/>
          <w:highlight w:val="none"/>
        </w:rPr>
        <w:t>、上报国家能源局或</w:t>
      </w:r>
      <w:r>
        <w:rPr>
          <w:rFonts w:hint="eastAsia" w:eastAsia="方正仿宋_GBK"/>
          <w:sz w:val="32"/>
          <w:szCs w:val="32"/>
          <w:highlight w:val="none"/>
        </w:rPr>
        <w:t>其派出机构等方式进行管理。</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eastAsia="zh-CN"/>
        </w:rPr>
        <w:t>市场经营主体</w:t>
      </w:r>
      <w:r>
        <w:rPr>
          <w:rFonts w:eastAsia="方正仿宋_GBK"/>
          <w:sz w:val="32"/>
          <w:szCs w:val="32"/>
          <w:highlight w:val="none"/>
        </w:rPr>
        <w:t>应按照本</w:t>
      </w:r>
      <w:r>
        <w:rPr>
          <w:rFonts w:hint="eastAsia" w:eastAsia="方正仿宋_GBK"/>
          <w:sz w:val="32"/>
          <w:szCs w:val="32"/>
          <w:highlight w:val="none"/>
        </w:rPr>
        <w:t>规则</w:t>
      </w:r>
      <w:r>
        <w:rPr>
          <w:rFonts w:eastAsia="方正仿宋_GBK"/>
          <w:sz w:val="32"/>
          <w:szCs w:val="32"/>
          <w:highlight w:val="none"/>
        </w:rPr>
        <w:t>要求，做好电力市场信息披露工作</w:t>
      </w:r>
      <w:r>
        <w:rPr>
          <w:rFonts w:hint="eastAsia" w:eastAsia="方正仿宋_GBK"/>
          <w:sz w:val="32"/>
          <w:szCs w:val="32"/>
          <w:highlight w:val="none"/>
        </w:rPr>
        <w:t>，不得出现</w:t>
      </w:r>
      <w:r>
        <w:rPr>
          <w:rFonts w:eastAsia="方正仿宋_GBK"/>
          <w:sz w:val="32"/>
          <w:szCs w:val="32"/>
          <w:highlight w:val="none"/>
        </w:rPr>
        <w:t>以下行为</w:t>
      </w:r>
      <w:r>
        <w:rPr>
          <w:rFonts w:hint="eastAsia" w:eastAsia="方正仿宋_GBK"/>
          <w:sz w:val="32"/>
          <w:szCs w:val="32"/>
          <w:highlight w:val="none"/>
        </w:rPr>
        <w:t>：</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（一）信息披露不及时、不准确、不完整的。</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（二）制造传播虚假信息的。</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（三）发布误导性信息的。</w:t>
      </w:r>
    </w:p>
    <w:p>
      <w:pPr>
        <w:pStyle w:val="16"/>
        <w:numPr>
          <w:ilvl w:val="0"/>
          <w:numId w:val="0"/>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rPr>
        <w:t>（四）其他违反信息披露有关规定的行为。</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hint="eastAsia" w:eastAsia="方正仿宋_GBK"/>
          <w:sz w:val="32"/>
          <w:szCs w:val="32"/>
          <w:highlight w:val="none"/>
          <w:lang w:val="en-US" w:eastAsia="zh-CN"/>
        </w:rPr>
        <w:t>对于出现以上行为的市场经营主体</w:t>
      </w:r>
      <w:r>
        <w:rPr>
          <w:rFonts w:hint="eastAsia" w:eastAsia="方正仿宋_GBK"/>
          <w:sz w:val="32"/>
          <w:szCs w:val="32"/>
          <w:highlight w:val="none"/>
        </w:rPr>
        <w:t>，</w:t>
      </w:r>
      <w:r>
        <w:rPr>
          <w:rFonts w:hint="eastAsia" w:eastAsia="方正仿宋_GBK"/>
          <w:sz w:val="32"/>
          <w:szCs w:val="32"/>
          <w:highlight w:val="none"/>
          <w:lang w:val="en-US" w:eastAsia="zh-CN"/>
        </w:rPr>
        <w:t>纳入电力交易信用评价，国家能源局及其派出机构可依法依规将其</w:t>
      </w:r>
      <w:r>
        <w:rPr>
          <w:rFonts w:hint="eastAsia" w:eastAsia="方正仿宋_GBK"/>
          <w:sz w:val="32"/>
          <w:szCs w:val="32"/>
          <w:highlight w:val="none"/>
        </w:rPr>
        <w:t>纳入失信管理</w:t>
      </w:r>
      <w:r>
        <w:rPr>
          <w:rFonts w:hint="eastAsia" w:eastAsia="方正仿宋_GBK"/>
          <w:sz w:val="32"/>
          <w:szCs w:val="32"/>
          <w:highlight w:val="none"/>
          <w:lang w:eastAsia="zh-CN"/>
        </w:rPr>
        <w:t>，</w:t>
      </w:r>
      <w:r>
        <w:rPr>
          <w:rFonts w:hint="eastAsia" w:eastAsia="方正仿宋_GBK"/>
          <w:sz w:val="32"/>
          <w:szCs w:val="32"/>
          <w:highlight w:val="none"/>
          <w:lang w:val="en-US" w:eastAsia="zh-CN"/>
        </w:rPr>
        <w:t>采取有关监管措施，</w:t>
      </w:r>
      <w:r>
        <w:rPr>
          <w:rFonts w:hint="eastAsia" w:eastAsia="方正仿宋_GBK"/>
          <w:sz w:val="32"/>
          <w:szCs w:val="32"/>
          <w:highlight w:val="none"/>
        </w:rPr>
        <w:t>问题严重的</w:t>
      </w:r>
      <w:r>
        <w:rPr>
          <w:rFonts w:hint="eastAsia" w:eastAsia="方正仿宋_GBK"/>
          <w:sz w:val="32"/>
          <w:szCs w:val="32"/>
          <w:highlight w:val="none"/>
          <w:lang w:val="en-US" w:eastAsia="zh-CN"/>
        </w:rPr>
        <w:t>可按照规定</w:t>
      </w:r>
      <w:r>
        <w:rPr>
          <w:rFonts w:hint="eastAsia" w:eastAsia="方正仿宋_GBK"/>
          <w:sz w:val="32"/>
          <w:szCs w:val="32"/>
          <w:highlight w:val="none"/>
        </w:rPr>
        <w:t>取消市场准入资格，并</w:t>
      </w:r>
      <w:r>
        <w:rPr>
          <w:rFonts w:hint="eastAsia" w:eastAsia="方正仿宋_GBK"/>
          <w:sz w:val="32"/>
          <w:szCs w:val="32"/>
          <w:highlight w:val="none"/>
          <w:lang w:val="en-US" w:eastAsia="zh-CN"/>
        </w:rPr>
        <w:t>根</w:t>
      </w:r>
      <w:r>
        <w:rPr>
          <w:rFonts w:hint="eastAsia" w:eastAsia="方正仿宋_GBK"/>
          <w:sz w:val="32"/>
          <w:szCs w:val="32"/>
          <w:highlight w:val="none"/>
        </w:rPr>
        <w:t>据《电力监管条例》等有关规定作出行政处罚。</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国家能源局</w:t>
      </w:r>
      <w:r>
        <w:rPr>
          <w:rFonts w:hint="eastAsia" w:eastAsia="方正仿宋_GBK"/>
          <w:sz w:val="32"/>
          <w:szCs w:val="32"/>
          <w:highlight w:val="none"/>
        </w:rPr>
        <w:t>及其</w:t>
      </w:r>
      <w:r>
        <w:rPr>
          <w:rFonts w:eastAsia="方正仿宋_GBK"/>
          <w:sz w:val="32"/>
          <w:szCs w:val="32"/>
          <w:highlight w:val="none"/>
        </w:rPr>
        <w:t>派出机构</w:t>
      </w:r>
      <w:r>
        <w:rPr>
          <w:rFonts w:hint="eastAsia" w:eastAsia="方正仿宋_GBK"/>
          <w:sz w:val="32"/>
          <w:szCs w:val="32"/>
          <w:highlight w:val="none"/>
          <w:lang w:val="en-US" w:eastAsia="zh-CN"/>
        </w:rPr>
        <w:t>组织电力交易机构</w:t>
      </w:r>
      <w:r>
        <w:rPr>
          <w:rFonts w:eastAsia="方正仿宋_GBK"/>
          <w:sz w:val="32"/>
          <w:szCs w:val="32"/>
          <w:highlight w:val="none"/>
        </w:rPr>
        <w:t>对</w:t>
      </w:r>
      <w:r>
        <w:rPr>
          <w:rFonts w:hint="eastAsia" w:eastAsia="方正仿宋_GBK"/>
          <w:sz w:val="32"/>
          <w:szCs w:val="32"/>
          <w:highlight w:val="none"/>
        </w:rPr>
        <w:t>各</w:t>
      </w:r>
      <w:r>
        <w:rPr>
          <w:rFonts w:hint="eastAsia" w:eastAsia="方正仿宋_GBK"/>
          <w:sz w:val="32"/>
          <w:szCs w:val="32"/>
          <w:highlight w:val="none"/>
          <w:lang w:eastAsia="zh-CN"/>
        </w:rPr>
        <w:t>市场经营主体</w:t>
      </w:r>
      <w:r>
        <w:rPr>
          <w:rFonts w:eastAsia="方正仿宋_GBK"/>
          <w:sz w:val="32"/>
          <w:szCs w:val="32"/>
          <w:highlight w:val="none"/>
        </w:rPr>
        <w:t>披露信息</w:t>
      </w:r>
      <w:r>
        <w:rPr>
          <w:rFonts w:hint="eastAsia" w:eastAsia="方正仿宋_GBK"/>
          <w:sz w:val="32"/>
          <w:szCs w:val="32"/>
          <w:highlight w:val="none"/>
        </w:rPr>
        <w:t>的及时性、完整性、准确性等</w:t>
      </w:r>
      <w:r>
        <w:rPr>
          <w:rFonts w:eastAsia="方正仿宋_GBK"/>
          <w:sz w:val="32"/>
          <w:szCs w:val="32"/>
          <w:highlight w:val="none"/>
        </w:rPr>
        <w:t>情况作出评价，评价结果向所有</w:t>
      </w:r>
      <w:r>
        <w:rPr>
          <w:rFonts w:hint="eastAsia" w:eastAsia="方正仿宋_GBK"/>
          <w:sz w:val="32"/>
          <w:szCs w:val="32"/>
          <w:highlight w:val="none"/>
          <w:lang w:eastAsia="zh-CN"/>
        </w:rPr>
        <w:t>市场经营主体</w:t>
      </w:r>
      <w:r>
        <w:rPr>
          <w:rFonts w:eastAsia="方正仿宋_GBK"/>
          <w:sz w:val="32"/>
          <w:szCs w:val="32"/>
          <w:highlight w:val="none"/>
        </w:rPr>
        <w:t>公布。</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0"/>
        <w:textAlignment w:val="auto"/>
        <w:outlineLvl w:val="9"/>
        <w:rPr>
          <w:rFonts w:ascii="方正黑体_GBK" w:hAnsi="方正黑体_GBK" w:eastAsia="方正黑体_GBK"/>
          <w:sz w:val="32"/>
          <w:szCs w:val="32"/>
          <w:highlight w:val="none"/>
        </w:rPr>
      </w:pPr>
      <w:bookmarkStart w:id="11" w:name="_Toc22631720"/>
    </w:p>
    <w:p>
      <w:pPr>
        <w:pStyle w:val="15"/>
        <w:spacing w:before="0" w:beforeLines="0" w:after="0" w:afterLines="0" w:line="560" w:lineRule="exact"/>
        <w:ind w:left="0" w:firstLine="0"/>
        <w:textAlignment w:val="auto"/>
        <w:rPr>
          <w:rFonts w:ascii="方正黑体_GBK" w:hAnsi="方正黑体_GBK" w:eastAsia="方正黑体_GBK"/>
          <w:sz w:val="32"/>
          <w:szCs w:val="32"/>
          <w:highlight w:val="none"/>
        </w:rPr>
      </w:pPr>
      <w:r>
        <w:rPr>
          <w:rFonts w:ascii="方正黑体_GBK" w:hAnsi="方正黑体_GBK" w:eastAsia="方正黑体_GBK"/>
          <w:sz w:val="32"/>
          <w:szCs w:val="32"/>
          <w:highlight w:val="none"/>
        </w:rPr>
        <w:t>第</w:t>
      </w:r>
      <w:r>
        <w:rPr>
          <w:rFonts w:hint="eastAsia" w:ascii="方正黑体_GBK" w:hAnsi="方正黑体_GBK" w:eastAsia="方正黑体_GBK"/>
          <w:sz w:val="32"/>
          <w:szCs w:val="32"/>
          <w:highlight w:val="none"/>
        </w:rPr>
        <w:t>七</w:t>
      </w:r>
      <w:r>
        <w:rPr>
          <w:rFonts w:ascii="方正黑体_GBK" w:hAnsi="方正黑体_GBK" w:eastAsia="方正黑体_GBK"/>
          <w:sz w:val="32"/>
          <w:szCs w:val="32"/>
          <w:highlight w:val="none"/>
        </w:rPr>
        <w:t>章 附  则</w:t>
      </w:r>
      <w:bookmarkEnd w:id="11"/>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本</w:t>
      </w:r>
      <w:r>
        <w:rPr>
          <w:rFonts w:hint="eastAsia" w:eastAsia="方正仿宋_GBK"/>
          <w:sz w:val="32"/>
          <w:szCs w:val="32"/>
          <w:highlight w:val="none"/>
        </w:rPr>
        <w:t>规则</w:t>
      </w:r>
      <w:r>
        <w:rPr>
          <w:rFonts w:eastAsia="方正仿宋_GBK"/>
          <w:sz w:val="32"/>
          <w:szCs w:val="32"/>
          <w:highlight w:val="none"/>
        </w:rPr>
        <w:t>自</w:t>
      </w:r>
      <w:r>
        <w:rPr>
          <w:rFonts w:hint="eastAsia" w:eastAsia="方正仿宋_GBK"/>
          <w:sz w:val="32"/>
          <w:szCs w:val="32"/>
          <w:highlight w:val="none"/>
        </w:rPr>
        <w:t>XXXX年X月X日</w:t>
      </w:r>
      <w:r>
        <w:rPr>
          <w:rFonts w:eastAsia="方正仿宋_GBK"/>
          <w:sz w:val="32"/>
          <w:szCs w:val="32"/>
          <w:highlight w:val="none"/>
        </w:rPr>
        <w:t>起施行</w:t>
      </w:r>
      <w:r>
        <w:rPr>
          <w:rFonts w:hint="eastAsia" w:eastAsia="方正仿宋_GBK"/>
          <w:sz w:val="32"/>
          <w:szCs w:val="32"/>
          <w:highlight w:val="none"/>
        </w:rPr>
        <w:t>，《电力现货市场信息披露办法（暂行）》（国能发监管</w:t>
      </w:r>
      <w:r>
        <w:rPr>
          <w:rFonts w:hint="eastAsia" w:ascii="方正隶书_GBK" w:hAnsi="方正隶书_GBK" w:eastAsia="方正隶书_GBK" w:cs="方正隶书_GBK"/>
          <w:sz w:val="32"/>
          <w:szCs w:val="32"/>
          <w:highlight w:val="none"/>
        </w:rPr>
        <w:t>〔</w:t>
      </w:r>
      <w:r>
        <w:rPr>
          <w:rFonts w:hint="eastAsia" w:eastAsia="方正仿宋_GBK"/>
          <w:sz w:val="32"/>
          <w:szCs w:val="32"/>
          <w:highlight w:val="none"/>
        </w:rPr>
        <w:t>2020</w:t>
      </w:r>
      <w:r>
        <w:rPr>
          <w:rFonts w:hint="eastAsia" w:ascii="方正隶书_GBK" w:hAnsi="方正隶书_GBK" w:eastAsia="方正隶书_GBK" w:cs="方正隶书_GBK"/>
          <w:sz w:val="32"/>
          <w:szCs w:val="32"/>
          <w:highlight w:val="none"/>
        </w:rPr>
        <w:t>〕</w:t>
      </w:r>
      <w:r>
        <w:rPr>
          <w:rFonts w:hint="eastAsia" w:eastAsia="方正仿宋_GBK"/>
          <w:sz w:val="32"/>
          <w:szCs w:val="32"/>
          <w:highlight w:val="none"/>
        </w:rPr>
        <w:t>56号）同时废止</w:t>
      </w:r>
      <w:r>
        <w:rPr>
          <w:rFonts w:eastAsia="方正仿宋_GBK"/>
          <w:sz w:val="32"/>
          <w:szCs w:val="32"/>
          <w:highlight w:val="none"/>
        </w:rPr>
        <w:t>。</w:t>
      </w:r>
      <w:r>
        <w:rPr>
          <w:rFonts w:hint="eastAsia" w:eastAsia="方正仿宋_GBK"/>
          <w:sz w:val="32"/>
          <w:szCs w:val="32"/>
          <w:highlight w:val="none"/>
          <w:lang w:val="en-US" w:eastAsia="zh-CN"/>
        </w:rPr>
        <w:t>现行规定与本规则不符的，以本规则为准。</w:t>
      </w:r>
    </w:p>
    <w:p>
      <w:pPr>
        <w:pStyle w:val="16"/>
        <w:numPr>
          <w:ilvl w:val="0"/>
          <w:numId w:val="2"/>
        </w:numPr>
        <w:spacing w:line="560" w:lineRule="exact"/>
        <w:ind w:firstLine="640" w:firstLineChars="200"/>
        <w:jc w:val="both"/>
        <w:textAlignment w:val="auto"/>
        <w:rPr>
          <w:rFonts w:eastAsia="方正仿宋_GBK"/>
          <w:sz w:val="32"/>
          <w:szCs w:val="32"/>
          <w:highlight w:val="none"/>
        </w:rPr>
      </w:pPr>
      <w:r>
        <w:rPr>
          <w:rFonts w:eastAsia="方正仿宋_GBK"/>
          <w:sz w:val="32"/>
          <w:szCs w:val="32"/>
          <w:highlight w:val="none"/>
        </w:rPr>
        <w:t>本</w:t>
      </w:r>
      <w:r>
        <w:rPr>
          <w:rFonts w:hint="eastAsia" w:eastAsia="方正仿宋_GBK"/>
          <w:sz w:val="32"/>
          <w:szCs w:val="32"/>
          <w:highlight w:val="none"/>
        </w:rPr>
        <w:t>规则</w:t>
      </w:r>
      <w:r>
        <w:rPr>
          <w:rFonts w:eastAsia="方正仿宋_GBK"/>
          <w:sz w:val="32"/>
          <w:szCs w:val="32"/>
          <w:highlight w:val="none"/>
        </w:rPr>
        <w:t>由国家能源局负责解释。</w:t>
      </w:r>
    </w:p>
    <w:p>
      <w:pPr>
        <w:widowControl/>
        <w:tabs>
          <w:tab w:val="left" w:pos="1418"/>
          <w:tab w:val="left" w:pos="1560"/>
          <w:tab w:val="left" w:pos="2268"/>
        </w:tabs>
        <w:spacing w:line="578" w:lineRule="exact"/>
        <w:ind w:left="0" w:firstLine="0"/>
        <w:rPr>
          <w:szCs w:val="32"/>
          <w:highlight w:val="none"/>
        </w:rPr>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7" w:right="1474" w:bottom="1984" w:left="1587" w:header="566" w:footer="1361" w:gutter="0"/>
          <w:pgNumType w:start="1"/>
          <w:cols w:space="720" w:num="1"/>
        </w:sectPr>
      </w:pPr>
    </w:p>
    <w:p>
      <w:pPr>
        <w:widowControl/>
        <w:tabs>
          <w:tab w:val="left" w:pos="1418"/>
          <w:tab w:val="left" w:pos="1560"/>
          <w:tab w:val="left" w:pos="2268"/>
        </w:tabs>
        <w:spacing w:line="578" w:lineRule="exact"/>
        <w:ind w:left="0" w:firstLine="0"/>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rPr>
        <w:t>附件</w:t>
      </w:r>
    </w:p>
    <w:p>
      <w:pPr>
        <w:pStyle w:val="15"/>
        <w:spacing w:before="240" w:beforeLines="100" w:after="240" w:afterLines="100" w:line="578" w:lineRule="exact"/>
        <w:ind w:left="0" w:firstLine="0"/>
        <w:textAlignment w:val="auto"/>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电力市场信息披露内容（公众、公开部分）</w:t>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方正仿宋_GBK" w:hAnsi="方正仿宋_GBK" w:eastAsia="方正仿宋_GBK" w:cs="方正仿宋_GBK"/>
          <w:bCs/>
          <w:color w:val="auto"/>
          <w:sz w:val="30"/>
          <w:szCs w:val="30"/>
          <w:highlight w:val="none"/>
        </w:rPr>
      </w:pPr>
      <w:r>
        <w:rPr>
          <w:rFonts w:hint="eastAsia" w:ascii="方正黑体_GBK" w:hAnsi="方正黑体_GBK" w:eastAsia="方正黑体_GBK" w:cs="方正黑体_GBK"/>
          <w:bCs/>
          <w:color w:val="auto"/>
          <w:sz w:val="30"/>
          <w:szCs w:val="30"/>
          <w:highlight w:val="none"/>
        </w:rPr>
        <w:t>一、发电企业</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747"/>
        <w:gridCol w:w="5731"/>
        <w:gridCol w:w="1773"/>
        <w:gridCol w:w="1111"/>
        <w:gridCol w:w="1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编号</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信息名称</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信息内容</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披露时间或周期</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披露范围</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基本信息</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企业全称、所属集团、工商注册时间、统一社会信用代码、股权结构、法定代表人、电源类型、装机容量、联系方式等</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股权结构只披露直接股东及股份占比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变更情况</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包括企业更名或法定代表人变更，企业增减资、合并、分立、解散及申请破产的决定，依法进入破产程序、被责令关闭等重大经营信息</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1.3</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关联信息</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直接或间接控股其他企业25%以上的；双方被同一股东控股50%以上的</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电厂机组信息</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电厂调度名称，所在地市，电力业务许可证（发电类）编号，机组调度管辖关系，投运机组台数，单机容量及类型，投运日期，接入电压等级、单机最大出力、机组出力受限的技术类型（如流化床、高背压供热）等</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1.5</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抽蓄机组信息</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包括最大发电能力、正常最小发电出力、最大抽水充电能力、正常最小抽水充电能力、静止到满载发电最小时间、静止到满载抽水最小时间、机组解列到重新并网最小间隔时间”等</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配建储能信息（如有）</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额定充（放）电功率、最大调节容量、最大充（放）电功率、额定充（放）电时间、最大持续充（放）电时间</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1.7</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机组出力受限情况</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left"/>
              <w:rPr>
                <w:rFonts w:hint="eastAsia" w:ascii="Times New Roman" w:hAnsi="Times New Roman" w:eastAsia="方正仿宋_GBK" w:cs="方正仿宋_GBK"/>
                <w:i w:val="0"/>
                <w:iCs w:val="0"/>
                <w:color w:val="auto"/>
                <w:sz w:val="21"/>
                <w:szCs w:val="21"/>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及时披露</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1.8</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机组检修及设备改造计划</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left"/>
              <w:rPr>
                <w:rFonts w:hint="eastAsia" w:ascii="Times New Roman" w:hAnsi="Times New Roman" w:eastAsia="方正仿宋_GBK" w:cs="方正仿宋_GBK"/>
                <w:i w:val="0"/>
                <w:iCs w:val="0"/>
                <w:color w:val="auto"/>
                <w:sz w:val="21"/>
                <w:szCs w:val="21"/>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1.9</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发电企业月度售电量、售电均价</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left"/>
              <w:rPr>
                <w:rFonts w:hint="eastAsia" w:ascii="Times New Roman" w:hAnsi="Times New Roman" w:eastAsia="方正仿宋_GBK" w:cs="方正仿宋_GBK"/>
                <w:i w:val="0"/>
                <w:iCs w:val="0"/>
                <w:color w:val="auto"/>
                <w:sz w:val="21"/>
                <w:szCs w:val="21"/>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60" w:lineRule="exac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spacing w:line="260" w:lineRule="exact"/>
              <w:ind w:left="0" w:firstLine="0"/>
              <w:jc w:val="center"/>
              <w:rPr>
                <w:rFonts w:hint="eastAsia" w:ascii="Times New Roman" w:hAnsi="Times New Roman" w:eastAsia="方正仿宋_GBK" w:cs="方正仿宋_GBK"/>
                <w:i w:val="0"/>
                <w:iCs w:val="0"/>
                <w:color w:val="auto"/>
                <w:sz w:val="21"/>
                <w:szCs w:val="21"/>
                <w:u w:val="none"/>
              </w:rPr>
            </w:pPr>
          </w:p>
        </w:tc>
      </w:tr>
    </w:tbl>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u w:val="none"/>
          <w:lang w:val="en-US" w:eastAsia="zh-CN" w:bidi="ar"/>
        </w:rPr>
      </w:pPr>
      <w:r>
        <w:rPr>
          <w:rFonts w:hint="eastAsia" w:ascii="方正仿宋_GBK" w:hAnsi="方正仿宋_GBK" w:eastAsia="方正仿宋_GBK" w:cs="方正仿宋_GBK"/>
          <w:b/>
          <w:bCs/>
          <w:i w:val="0"/>
          <w:iCs w:val="0"/>
          <w:color w:val="auto"/>
          <w:kern w:val="0"/>
          <w:sz w:val="24"/>
          <w:szCs w:val="24"/>
          <w:u w:val="none"/>
          <w:lang w:val="en-US" w:eastAsia="zh-CN" w:bidi="ar"/>
        </w:rPr>
        <w:br w:type="page"/>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方正黑体_GBK" w:hAnsi="方正黑体_GBK" w:eastAsia="方正黑体_GBK" w:cs="方正黑体_GBK"/>
          <w:bCs/>
          <w:color w:val="auto"/>
          <w:sz w:val="30"/>
          <w:szCs w:val="30"/>
          <w:highlight w:val="none"/>
          <w:lang w:val="en-US" w:eastAsia="zh-CN"/>
        </w:rPr>
      </w:pPr>
      <w:r>
        <w:rPr>
          <w:rFonts w:hint="eastAsia" w:ascii="方正黑体_GBK" w:hAnsi="方正黑体_GBK" w:eastAsia="方正黑体_GBK" w:cs="方正黑体_GBK"/>
          <w:bCs/>
          <w:color w:val="auto"/>
          <w:sz w:val="30"/>
          <w:szCs w:val="30"/>
          <w:highlight w:val="none"/>
          <w:lang w:val="en-US" w:eastAsia="zh-CN"/>
        </w:rPr>
        <w:t>二、售电公司</w:t>
      </w:r>
    </w:p>
    <w:tbl>
      <w:tblPr>
        <w:tblStyle w:val="7"/>
        <w:tblW w:w="49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746"/>
        <w:gridCol w:w="5735"/>
        <w:gridCol w:w="1772"/>
        <w:gridCol w:w="111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编号</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信息名称</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信息内容</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披露时间或周期</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披露范围</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基本信息</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企业全称、企业性质、售电公司类型、工商注册时间、注册资本金、统一社会信用代码、股权结构、经营范围、法定代表人、联系方式、营业场所地址、信用承诺书等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股权结构只披露直接股东及股份占比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2.2</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变更情况</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包括企业更名或法定代表人变更，企业增减资、合并、分立、解散及申请破产的决定，或者依法进入破产程序、被责令关闭等重大经营信息，配电网运营资质变化等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2.3</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关联信息</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直接或间接控股25%以上的，双方被同一股东控股50%以上的</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2.4</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资产信息</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包括资产证明方式、资产证明出具机构、报告文号（编号）、报告日期、资产总额、实收资本总额等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2.5</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从业人员信息</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从业人员数量、职称及社保缴纳人数</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2.6</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售电公司年报</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企业基本情况、持续满足市场准入条件情况、财务情况、经营状况、业务范围、履约情况、重大事项，信用信息、竞争力等。</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2.7</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零售套餐产品信息（如有）</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center"/>
              <w:rPr>
                <w:rFonts w:hint="eastAsia" w:ascii="Times New Roman" w:hAnsi="Times New Roman" w:eastAsia="方正仿宋_GBK" w:cs="方正仿宋_GBK"/>
                <w:i w:val="0"/>
                <w:iCs w:val="0"/>
                <w:color w:val="auto"/>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及时披露</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2.8</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履约保函、保险信息（如有）</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各省履约保函（保险）缴纳金额、有效期等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及时披露</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2.9</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配电网运营有关信息（如有）</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电力业务许可证（供电类）编号、配电网电压等级、配电区域、配电价格等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及时披露</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2.10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批发零售两侧结算信息</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全量及分省的购电量及均价、售电量及均价等</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2.11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财务审计报告（如有）</w:t>
            </w:r>
          </w:p>
        </w:tc>
        <w:tc>
          <w:tcPr>
            <w:tcW w:w="22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tLeast"/>
              <w:ind w:left="0" w:firstLine="0"/>
              <w:rPr>
                <w:rFonts w:hint="eastAsia" w:ascii="Times New Roman" w:hAnsi="Times New Roman" w:eastAsia="方正仿宋_GBK" w:cs="方正仿宋_GBK"/>
                <w:i w:val="0"/>
                <w:iCs w:val="0"/>
                <w:color w:val="auto"/>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tLeast"/>
              <w:ind w:left="0" w:firstLine="0"/>
              <w:rPr>
                <w:rFonts w:hint="eastAsia" w:ascii="Times New Roman" w:hAnsi="Times New Roman" w:eastAsia="方正仿宋_GBK" w:cs="方正仿宋_GBK"/>
                <w:i w:val="0"/>
                <w:iCs w:val="0"/>
                <w:color w:val="auto"/>
                <w:sz w:val="21"/>
                <w:szCs w:val="21"/>
                <w:u w:val="none"/>
              </w:rPr>
            </w:pPr>
          </w:p>
        </w:tc>
      </w:tr>
    </w:tbl>
    <w:p>
      <w:pPr>
        <w:rPr>
          <w:rFonts w:hint="eastAsia" w:ascii="方正仿宋_GBK" w:hAnsi="方正仿宋_GBK" w:eastAsia="方正仿宋_GBK" w:cs="方正仿宋_GBK"/>
          <w:color w:val="auto"/>
          <w:szCs w:val="32"/>
          <w:highlight w:val="none"/>
        </w:rPr>
      </w:pPr>
      <w:r>
        <w:rPr>
          <w:rFonts w:hint="eastAsia" w:ascii="方正仿宋_GBK" w:hAnsi="方正仿宋_GBK" w:eastAsia="方正仿宋_GBK" w:cs="方正仿宋_GBK"/>
          <w:color w:val="auto"/>
          <w:szCs w:val="32"/>
          <w:highlight w:val="none"/>
        </w:rPr>
        <w:br w:type="page"/>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方正黑体_GBK" w:hAnsi="方正黑体_GBK" w:eastAsia="方正黑体_GBK" w:cs="方正黑体_GBK"/>
          <w:bCs/>
          <w:color w:val="auto"/>
          <w:sz w:val="30"/>
          <w:szCs w:val="30"/>
          <w:highlight w:val="none"/>
          <w:lang w:val="en-US" w:eastAsia="zh-CN"/>
        </w:rPr>
      </w:pPr>
      <w:r>
        <w:rPr>
          <w:rFonts w:hint="eastAsia" w:ascii="方正黑体_GBK" w:hAnsi="方正黑体_GBK" w:eastAsia="方正黑体_GBK" w:cs="方正黑体_GBK"/>
          <w:bCs/>
          <w:color w:val="auto"/>
          <w:sz w:val="30"/>
          <w:szCs w:val="30"/>
          <w:highlight w:val="none"/>
          <w:lang w:val="en-US" w:eastAsia="zh-CN"/>
        </w:rPr>
        <w:t>三、电力用户</w:t>
      </w:r>
    </w:p>
    <w:tbl>
      <w:tblPr>
        <w:tblStyle w:val="7"/>
        <w:tblW w:w="48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3000"/>
        <w:gridCol w:w="3627"/>
        <w:gridCol w:w="2019"/>
        <w:gridCol w:w="1527"/>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编号</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信息名称</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信息内容</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披露时间或周期</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披露范围</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3.1</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基本信息</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企业全称、企业性质、行业分类、用户类别、工商注册时间、统一社会信用代码、法定代表人、联系方式、经营范围、所属行业等</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3.2</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变更情况</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包括企业更名或法定代表人变更，企业增减资、合并、分立、解散及申请破产的决定，依法进入破产程序、被责令关闭等重大经营信息</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3.3</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关联信息</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直接或间接控股25%以上的，双方被同一股东控股50%以上的</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3.4</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用电信息</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用电类别、接入地市、自备电源（如有）、变压器报装容量以及最大需量等</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3.5</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配建储能信息（如有）</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额定充（放）电功率、最大调节容量、最大充（放）电功率、额定充（放）电时间、最大持续充（放）电时间</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bl>
    <w:p>
      <w:pPr>
        <w:keepNext w:val="0"/>
        <w:keepLines w:val="0"/>
        <w:widowControl/>
        <w:numPr>
          <w:ilvl w:val="0"/>
          <w:numId w:val="0"/>
        </w:numPr>
        <w:suppressLineNumbers w:val="0"/>
        <w:ind w:left="420" w:leftChars="0"/>
        <w:jc w:val="both"/>
        <w:textAlignment w:val="center"/>
        <w:rPr>
          <w:rFonts w:hint="eastAsia" w:ascii="Times New Roman" w:hAnsi="Times New Roman" w:eastAsia="方正仿宋_GBK" w:cs="方正仿宋_GBK"/>
          <w:b/>
          <w:bCs/>
          <w:i w:val="0"/>
          <w:iCs w:val="0"/>
          <w:color w:val="auto"/>
          <w:kern w:val="0"/>
          <w:sz w:val="24"/>
          <w:szCs w:val="24"/>
          <w:u w:val="none"/>
          <w:lang w:val="en-US" w:eastAsia="zh-CN" w:bidi="ar"/>
        </w:rPr>
      </w:pPr>
    </w:p>
    <w:p>
      <w:pPr>
        <w:rPr>
          <w:rFonts w:hint="eastAsia" w:ascii="Times New Roman" w:hAnsi="Times New Roman" w:eastAsia="方正仿宋_GBK" w:cs="方正仿宋_GBK"/>
          <w:color w:val="auto"/>
          <w:szCs w:val="32"/>
          <w:highlight w:val="none"/>
        </w:rPr>
      </w:pPr>
      <w:r>
        <w:rPr>
          <w:rFonts w:hint="eastAsia" w:ascii="Times New Roman" w:hAnsi="Times New Roman" w:eastAsia="方正仿宋_GBK" w:cs="方正仿宋_GBK"/>
          <w:color w:val="auto"/>
          <w:szCs w:val="32"/>
          <w:highlight w:val="none"/>
        </w:rPr>
        <w:br w:type="page"/>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Times New Roman" w:hAnsi="Times New Roman" w:eastAsia="方正黑体_GBK" w:cs="方正黑体_GBK"/>
          <w:bCs/>
          <w:color w:val="auto"/>
          <w:sz w:val="30"/>
          <w:szCs w:val="30"/>
          <w:highlight w:val="none"/>
        </w:rPr>
      </w:pPr>
      <w:r>
        <w:rPr>
          <w:rFonts w:hint="eastAsia" w:ascii="Times New Roman" w:hAnsi="Times New Roman" w:eastAsia="方正黑体_GBK" w:cs="方正黑体_GBK"/>
          <w:bCs/>
          <w:color w:val="auto"/>
          <w:sz w:val="30"/>
          <w:szCs w:val="30"/>
          <w:highlight w:val="none"/>
          <w:lang w:val="en-US" w:eastAsia="zh-CN"/>
        </w:rPr>
        <w:t>四、</w:t>
      </w:r>
      <w:r>
        <w:rPr>
          <w:rFonts w:hint="eastAsia" w:ascii="Times New Roman" w:hAnsi="Times New Roman" w:eastAsia="方正黑体_GBK" w:cs="方正黑体_GBK"/>
          <w:bCs/>
          <w:color w:val="auto"/>
          <w:sz w:val="30"/>
          <w:szCs w:val="30"/>
          <w:highlight w:val="none"/>
        </w:rPr>
        <w:t>独立储能</w:t>
      </w:r>
    </w:p>
    <w:tbl>
      <w:tblPr>
        <w:tblStyle w:val="7"/>
        <w:tblW w:w="48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3069"/>
        <w:gridCol w:w="3950"/>
        <w:gridCol w:w="1966"/>
        <w:gridCol w:w="1106"/>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编号</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信息名称</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信息内容</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披露时间或周期</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披露范围</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4.1</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基本信息</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企业全称、企业性质、额定容量、工商注册时间、统一社会信用代码、股权结构、经营范围、法定代表人、联系方式等</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股权结构只披露直接股东及股份占比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4.2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变更情况</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包括企业更名或法定代表人变更；企业增减资、合并、分立、解散及申请破产的决定；依法进入破产程序、被责令关闭等重大经营信息</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4.3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关联信息</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直接或间接控股25%以上的，双方被同一股东控股50%以上的</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4.4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储能设备信息</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调度名称、调度管辖关系、投运日期、接入电压等级、机组技术类型（电化学、压缩空气等）、所在地市</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4.5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技术参数</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额定充（放）电功率、最大调节容量、最大充（放）电功率、额定充（放）电时间、最大持续充（放）电时间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bl>
    <w:p>
      <w:pPr>
        <w:rPr>
          <w:rFonts w:hint="eastAsia" w:ascii="方正仿宋_GBK" w:hAnsi="方正仿宋_GBK" w:eastAsia="方正仿宋_GBK" w:cs="方正仿宋_GBK"/>
          <w:color w:val="auto"/>
          <w:szCs w:val="32"/>
          <w:highlight w:val="none"/>
        </w:rPr>
      </w:pPr>
      <w:r>
        <w:rPr>
          <w:rFonts w:hint="eastAsia" w:ascii="方正仿宋_GBK" w:hAnsi="方正仿宋_GBK" w:eastAsia="方正仿宋_GBK" w:cs="方正仿宋_GBK"/>
          <w:color w:val="auto"/>
          <w:szCs w:val="32"/>
          <w:highlight w:val="none"/>
        </w:rPr>
        <w:br w:type="page"/>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方正黑体_GBK" w:hAnsi="方正黑体_GBK" w:eastAsia="方正黑体_GBK" w:cs="方正黑体_GBK"/>
          <w:bCs/>
          <w:color w:val="auto"/>
          <w:sz w:val="30"/>
          <w:szCs w:val="30"/>
          <w:highlight w:val="none"/>
        </w:rPr>
      </w:pPr>
      <w:r>
        <w:rPr>
          <w:rFonts w:hint="eastAsia" w:ascii="方正黑体_GBK" w:hAnsi="方正黑体_GBK" w:eastAsia="方正黑体_GBK" w:cs="方正黑体_GBK"/>
          <w:bCs/>
          <w:color w:val="auto"/>
          <w:sz w:val="30"/>
          <w:szCs w:val="30"/>
          <w:highlight w:val="none"/>
          <w:lang w:val="en-US" w:eastAsia="zh-CN"/>
        </w:rPr>
        <w:t>五、</w:t>
      </w:r>
      <w:r>
        <w:rPr>
          <w:rFonts w:hint="eastAsia" w:ascii="方正黑体_GBK" w:hAnsi="方正黑体_GBK" w:eastAsia="方正黑体_GBK" w:cs="方正黑体_GBK"/>
          <w:bCs/>
          <w:color w:val="auto"/>
          <w:sz w:val="30"/>
          <w:szCs w:val="30"/>
          <w:highlight w:val="none"/>
        </w:rPr>
        <w:t>电网企业</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3002"/>
        <w:gridCol w:w="3591"/>
        <w:gridCol w:w="2063"/>
        <w:gridCol w:w="1147"/>
        <w:gridCol w:w="1147"/>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编号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信息名称</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信息内容</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披露时间或周期</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披露范围</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披露市场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基本信息</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企业全称、企业性质、工商注册时间、统一社会信用代码、法定代表人、联系方式、供电区域等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关联信息</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直接或间接控股25%以上的，双方被同一股东控股50%以上的</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政府定价信息</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政府印发的电价政策相关文件、输配电价、政府核定的输配电线损率、政府性基金及附加等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收到文件后5个工作日内</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5.4</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代理购电信息</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代理购电量及构成、代理购电价及构成（含上网环节线损折价，系统运行费用折价等）、代理购电用户分电压等级电价及构成。</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5.5</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电力业务许可证</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电力业务许可证（输电类、供电类）编号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5.6</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发电机组装机及发电总体情况</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各类型电源（含独立储能）的装机容量、投产及退役容量、发电量等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5.7</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全社会以及分产业用电量信息</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转载披露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5.8</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年度供需实际情况</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电网最高负荷、负荷变化和供需情况</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5.9</w:t>
            </w:r>
          </w:p>
        </w:tc>
        <w:tc>
          <w:tcPr>
            <w:tcW w:w="1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年度电力电量供需预测</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次年度供需预测情况（最高负荷、供需形势分析）</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5.10</w:t>
            </w:r>
          </w:p>
        </w:tc>
        <w:tc>
          <w:tcPr>
            <w:tcW w:w="1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输变电设备建设、投产情况</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220kV及以上输变电设备年度建设投产规模</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5.11</w:t>
            </w:r>
          </w:p>
        </w:tc>
        <w:tc>
          <w:tcPr>
            <w:tcW w:w="1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220千伏及以上电源送出工程建设投产计划</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5.12</w:t>
            </w:r>
          </w:p>
        </w:tc>
        <w:tc>
          <w:tcPr>
            <w:tcW w:w="1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省间联络线工程建设投产计划</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市场经营主体电费违约总体情况</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5.14</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需求侧响应执行情况</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地方政府发布后及时更新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240" w:lineRule="auto"/>
              <w:ind w:left="0" w:firstLine="0"/>
              <w:rPr>
                <w:rFonts w:hint="eastAsia" w:ascii="Times New Roman" w:hAnsi="Times New Roman" w:eastAsia="方正仿宋_GBK" w:cs="方正仿宋_GBK"/>
                <w:i w:val="0"/>
                <w:iCs w:val="0"/>
                <w:color w:val="auto"/>
                <w:sz w:val="21"/>
                <w:szCs w:val="21"/>
                <w:u w:val="none"/>
              </w:rPr>
            </w:pPr>
          </w:p>
        </w:tc>
      </w:tr>
    </w:tbl>
    <w:p>
      <w:pPr>
        <w:rPr>
          <w:rFonts w:hint="eastAsia" w:ascii="方正仿宋_GBK" w:hAnsi="方正仿宋_GBK" w:eastAsia="方正仿宋_GBK" w:cs="方正仿宋_GBK"/>
          <w:color w:val="auto"/>
          <w:szCs w:val="32"/>
          <w:highlight w:val="none"/>
        </w:rPr>
      </w:pPr>
      <w:r>
        <w:rPr>
          <w:rFonts w:hint="eastAsia" w:ascii="方正仿宋_GBK" w:hAnsi="方正仿宋_GBK" w:eastAsia="方正仿宋_GBK" w:cs="方正仿宋_GBK"/>
          <w:color w:val="auto"/>
          <w:szCs w:val="32"/>
          <w:highlight w:val="none"/>
        </w:rPr>
        <w:br w:type="page"/>
      </w:r>
    </w:p>
    <w:p>
      <w:pPr>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00" w:firstLineChars="200"/>
        <w:textAlignment w:val="bottom"/>
        <w:outlineLvl w:val="9"/>
        <w:rPr>
          <w:rFonts w:hint="eastAsia" w:ascii="方正黑体_GBK" w:hAnsi="方正黑体_GBK" w:eastAsia="方正黑体_GBK" w:cs="方正黑体_GBK"/>
          <w:bCs/>
          <w:color w:val="auto"/>
          <w:sz w:val="30"/>
          <w:szCs w:val="30"/>
          <w:highlight w:val="none"/>
          <w:lang w:eastAsia="zh-CN"/>
        </w:rPr>
      </w:pPr>
      <w:r>
        <w:rPr>
          <w:rFonts w:hint="eastAsia" w:ascii="方正黑体_GBK" w:hAnsi="方正黑体_GBK" w:eastAsia="方正黑体_GBK" w:cs="方正黑体_GBK"/>
          <w:bCs/>
          <w:color w:val="auto"/>
          <w:sz w:val="30"/>
          <w:szCs w:val="30"/>
          <w:highlight w:val="none"/>
          <w:lang w:val="en-US" w:eastAsia="zh-CN"/>
        </w:rPr>
        <w:t>六、</w:t>
      </w:r>
      <w:r>
        <w:rPr>
          <w:rFonts w:hint="eastAsia" w:ascii="方正黑体_GBK" w:hAnsi="方正黑体_GBK" w:eastAsia="方正黑体_GBK" w:cs="方正黑体_GBK"/>
          <w:bCs/>
          <w:color w:val="auto"/>
          <w:sz w:val="30"/>
          <w:szCs w:val="30"/>
          <w:highlight w:val="none"/>
        </w:rPr>
        <w:t>市场运营机构</w:t>
      </w:r>
    </w:p>
    <w:tbl>
      <w:tblPr>
        <w:tblStyle w:val="7"/>
        <w:tblW w:w="49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034"/>
        <w:gridCol w:w="2897"/>
        <w:gridCol w:w="1693"/>
        <w:gridCol w:w="1100"/>
        <w:gridCol w:w="1273"/>
        <w:gridCol w:w="1504"/>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编号</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信息名称</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信息内容</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披露时间或周期</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披露范围</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披露市场</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提供方</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b/>
                <w:bCs/>
                <w:i w:val="0"/>
                <w:iCs w:val="0"/>
                <w:color w:val="auto"/>
                <w:sz w:val="21"/>
                <w:szCs w:val="21"/>
                <w:u w:val="none"/>
              </w:rPr>
            </w:pPr>
            <w:r>
              <w:rPr>
                <w:rFonts w:hint="eastAsia" w:ascii="Times New Roman" w:hAnsi="Times New Roman" w:eastAsia="方正仿宋_GBK" w:cs="方正仿宋_GBK"/>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交易机构基本信息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机构全称、工商注册时间、股权结构、统一社会信用代码、法定代表人、服务电话、办公地址、网站网址等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注册生效后披露，及时更新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w:t>
            </w:r>
            <w:bookmarkStart w:id="12" w:name="_GoBack"/>
            <w:bookmarkEnd w:id="12"/>
            <w:r>
              <w:rPr>
                <w:rFonts w:hint="eastAsia" w:ascii="Times New Roman" w:hAnsi="Times New Roman" w:eastAsia="方正仿宋_GBK" w:cs="方正仿宋_GBK"/>
                <w:i w:val="0"/>
                <w:iCs w:val="0"/>
                <w:color w:val="auto"/>
                <w:kern w:val="0"/>
                <w:sz w:val="21"/>
                <w:szCs w:val="21"/>
                <w:u w:val="none"/>
                <w:lang w:val="en-US" w:eastAsia="zh-CN" w:bidi="ar"/>
              </w:rPr>
              <w:t>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股权结构披露直接股东及股份占比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法律法规、政策文件、规则及细则</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电力市场公开适用的法律法规、政策文件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收到文件后5个工作日内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可公开的电力市场规则细则类信息，包括交易规则，制定、修订市场规则过程中涉及的解释性文档等</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文件印发后5个工作日内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交易收费标准</w:t>
            </w:r>
          </w:p>
        </w:tc>
        <w:tc>
          <w:tcPr>
            <w:tcW w:w="6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收到文件后5个工作日内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w:t>
            </w:r>
          </w:p>
        </w:tc>
        <w:tc>
          <w:tcPr>
            <w:tcW w:w="79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业务标准规范</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负荷预测方法和流程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辅助服务需求计算方法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电网安全校核规范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市场经营主体注册流程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制定后及时披露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6.9</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争议解决流程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制定后及时披露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6.10</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电力市场服务指南</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制定后及时披露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6.11</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数据通讯格式规范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制定后及时披露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6.12</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信用信息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经政府同意的市场经营主体电力交易信用信息</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6.13</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售电公司违约情况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发生后及时披露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电力市场运行情况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截至上一年底各类市场经营主体注册情况，上一年度交易结算总量、均价情况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退市市场经营主体名单</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强制或自愿退出且公示生效后的市场经营主体名单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市场力情况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HHI、Top-m指标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市场暂停、中止、重新启动等情况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发生后及时披露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市场信息披露报告</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市场信息披露报告，包括电网概况、电力供需及预测情况、市场准入、市场交易、市场结算、市场建设、违规情况、市场干预情况等。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季、月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交易机构牵头编制报告，其他信息披露主体提供相关信息。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6.19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违规行为通报及市场干预情况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经国家能源局派出机构或者地方政府电力管理部门认定的违规行为通报、市场干预情况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收到文件后5个工作日内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电力现货市场第三方校验报告</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按照市场管理委员会要求时间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交易机构经审计的收支总体情况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向市场经营主体收费的电力交易机构披露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交易日历</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多年、年、月、周、多日、日各类交易安排</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电网主要网络通道示意图</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500kV电压等级及以上</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6.24</w:t>
            </w:r>
          </w:p>
        </w:tc>
        <w:tc>
          <w:tcPr>
            <w:tcW w:w="79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约束信息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发输变电设备投产、退役计划</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6.25</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发输变电设备检修计划</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年、月、日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6.26</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省间联络线输电可用容量（考虑所有已知影响）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年、月、周</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月度分周按峰平谷时段披露，周按交易时间单元披露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6.27</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省内关键输电断面可用容量（考虑所有已知影响）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年、月、周</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6.28</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必开必停机组名单及总容量</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6.29</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开停机不满最小约束时间机组名单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6.30</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参数信息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市场出清模块算法及运行参数</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6.31</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价格限值</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6.32</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约束松弛惩罚因子</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6.33</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节点分配因子</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以每两小时为单位披露，适用于节点边际电价市场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6.34</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节点分配因子确定方法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适用于节点边际电价市场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6.35</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节点及分区划分依据和详细数据</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适用于节点边际电价市场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6.36</w:t>
            </w:r>
          </w:p>
        </w:tc>
        <w:tc>
          <w:tcPr>
            <w:tcW w:w="79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预测信息</w:t>
            </w:r>
          </w:p>
        </w:tc>
        <w:tc>
          <w:tcPr>
            <w:tcW w:w="113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系统负荷预测</w:t>
            </w:r>
          </w:p>
        </w:tc>
        <w:tc>
          <w:tcPr>
            <w:tcW w:w="665"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月最大负荷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6.37</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周、日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6.38</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电力电量供需平衡预测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供需形势分析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6.39</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按交易时间单元披露供需差额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6.40</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各电网电力平衡预测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6.41</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省间联络线输电曲线预测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日前、日内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6.42</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发电总出力预测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按交易时间单元披露，分区边际电价市场需发布分区预测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6.43</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非市场机组总出力预测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6.44</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新能源总出力预测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周、日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分电源类型按交易时间单元披露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6.45</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水电（含抽蓄）总出力预测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周、日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6.46</w:t>
            </w:r>
          </w:p>
        </w:tc>
        <w:tc>
          <w:tcPr>
            <w:tcW w:w="79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辅助服务需求信息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各类辅助服务需求总量</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6.47</w:t>
            </w:r>
          </w:p>
        </w:tc>
        <w:tc>
          <w:tcPr>
            <w:tcW w:w="7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具备参与辅助服务市场的机组台数及容量、用户及售电公司个数等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交易公告</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包括交易品种、交易主体、交易方式、交易申报时间、交易合同执行开始时间及终止时间、交易参数、出清方式、交易约束信息、交易操作说明、其他准备信息等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交易组织前及时披露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6.49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中长期交易申报及成交情况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包括交易参与的主体数量、申报情况、成交的主体数量、成交总量及分电源类型电量、成交均价及分电源类型均价等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交易出清后及时披露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中长期交易安全校核及原因</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交易出清后及时披露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绿电、绿证交易申报及成交情况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包括参与的主体数量、申报电量、成交的主体数量、最终成交总量、成交均价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交易出清后及时披露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现货市场申报、出清信息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日前、日内平均申报电价，日前、日内各时段出清电量及各类电源电量和台数，日前、日内平均出清电价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出清后及时披露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节点边际电价市场应当披露交易时间单元所有节点的节点边际电价以及各节点边际电价的电能量、阻塞等各分量价格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6.53</w:t>
            </w:r>
          </w:p>
        </w:tc>
        <w:tc>
          <w:tcPr>
            <w:tcW w:w="799" w:type="pc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辅助服务市场申报、出清信息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各类辅助服务市场申报总电量及平均价格，各时段出清电量及各类电源电量和台数、平均中标价格</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出清后及时披露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出清按交易时间单元披露，其他按日披露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日前、实时市场各时段出清的断面约束及阻塞情况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运行结束后按交易时间单元披露,适用于节点边际电价市场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6.55</w:t>
            </w:r>
          </w:p>
        </w:tc>
        <w:tc>
          <w:tcPr>
            <w:tcW w:w="7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省间交易计划</w:t>
            </w:r>
          </w:p>
        </w:tc>
        <w:tc>
          <w:tcPr>
            <w:tcW w:w="11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应急调度信息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应急调度启动原因、起止时间、执行结果等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发生后及时披露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6.57</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运行信息</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机组状态</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运行日次日按交易时间单元披露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6.58</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发电总出力</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6.59</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非市场机组总出力</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6.60</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新能源总出力</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6.61</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水电（含抽蓄）总出力</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6.62</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实际负荷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6.63</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系统备用信息</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6.64</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重要通道实际输电情况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6.65</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实际运行输电断面约束情况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6.66</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省间联络线输电情况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6.67</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重要线路与变压器平均潮流</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6.68</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发输变电设备投产、退役、检修、改造等计划执行情况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6.69</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重要线路实际停运情况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6.70</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发电机组非停情况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6.71</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电网负荷总体情况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最高最低负荷和负荷变化情况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电力并网运行管理考核和返还明细</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各并网主体分考核种类考核费用、返还费用、免考核情况等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电力辅助服务考核、补偿和分摊明细</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各市场经营主体分辅助服务品种的电量/容量、补偿费用、考核费用、分摊比例、分摊费用等</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6.74</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结算情况</w:t>
            </w:r>
          </w:p>
        </w:tc>
        <w:tc>
          <w:tcPr>
            <w:tcW w:w="1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结算总体情况及分类构成情况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6.75</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6.76</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绿电、绿证交易结算情况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6.77</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省间交易结算情况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6.78</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不平衡资金构成、分摊和分享情况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不平衡资金分项计列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6.79</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偏差考核情况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售电公司结算总体情况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售电公司代理电量，批发侧、零售侧结算均价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零售侧结算均价不含输配电价及基金附加等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售电公司履约保障凭证情况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各售电公司履约保障凭证缴纳、执行情况，结合资产总额确定的售电量规模限额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交易总体情况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年度、月度、月内、现货交易成交均价及电量</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left"/>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中长期交易分电源类型披露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发电机组转商情况</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发电机组、独立储能完成整套设备启动试运行时间</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到期未取得电力业务许可证的市场经营主体名单</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及时更新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市场干预情况原始日志</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both"/>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 xml:space="preserve">干预时间、干预主体、干预操作、干预原因 </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发生后及时披露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电力调度机构电力交易机构</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left"/>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省间联络线输电容量分配结果</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适用于分区边际电价市场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省间联络线输电容量预留</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平衡市场交易电量、价格</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6.89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再调度费用及明细</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both"/>
              <w:rPr>
                <w:rFonts w:hint="eastAsia" w:ascii="Times New Roman" w:hAnsi="Times New Roman" w:eastAsia="方正仿宋_GBK" w:cs="方正仿宋_GBK"/>
                <w:i w:val="0"/>
                <w:iCs w:val="0"/>
                <w:color w:val="auto"/>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季</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公开</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省内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jc w:val="center"/>
              <w:textAlignment w:val="center"/>
              <w:rPr>
                <w:rFonts w:hint="eastAsia" w:ascii="Times New Roman" w:hAnsi="Times New Roman" w:eastAsia="方正仿宋_GBK" w:cs="方正仿宋_GBK"/>
                <w:i w:val="0"/>
                <w:iCs w:val="0"/>
                <w:color w:val="auto"/>
                <w:sz w:val="21"/>
                <w:szCs w:val="21"/>
                <w:u w:val="none"/>
              </w:rPr>
            </w:pPr>
            <w:r>
              <w:rPr>
                <w:rFonts w:hint="eastAsia" w:ascii="Times New Roman" w:hAnsi="Times New Roman" w:eastAsia="方正仿宋_GBK" w:cs="方正仿宋_GBK"/>
                <w:i w:val="0"/>
                <w:iCs w:val="0"/>
                <w:color w:val="auto"/>
                <w:kern w:val="0"/>
                <w:sz w:val="21"/>
                <w:szCs w:val="21"/>
                <w:u w:val="none"/>
                <w:lang w:val="en-US" w:eastAsia="zh-CN" w:bidi="ar"/>
              </w:rPr>
              <w:t>电力调度机构</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rPr>
                <w:rFonts w:hint="eastAsia" w:ascii="Times New Roman" w:hAnsi="Times New Roman" w:eastAsia="方正仿宋_GBK" w:cs="方正仿宋_GBK"/>
                <w:i w:val="0"/>
                <w:iCs w:val="0"/>
                <w:color w:val="auto"/>
                <w:sz w:val="21"/>
                <w:szCs w:val="21"/>
                <w:u w:val="none"/>
              </w:rPr>
            </w:pPr>
          </w:p>
        </w:tc>
      </w:tr>
    </w:tbl>
    <w:p>
      <w:pPr>
        <w:keepNext w:val="0"/>
        <w:keepLines w:val="0"/>
        <w:widowControl/>
        <w:numPr>
          <w:ilvl w:val="0"/>
          <w:numId w:val="0"/>
        </w:numPr>
        <w:suppressLineNumbers w:val="0"/>
        <w:ind w:left="420" w:leftChars="0"/>
        <w:jc w:val="both"/>
        <w:textAlignment w:val="center"/>
        <w:rPr>
          <w:rFonts w:hint="eastAsia" w:ascii="方正仿宋_GBK" w:hAnsi="方正仿宋_GBK" w:eastAsia="方正仿宋_GBK" w:cs="方正仿宋_GBK"/>
          <w:color w:val="auto"/>
          <w:szCs w:val="32"/>
          <w:highlight w:val="none"/>
        </w:rPr>
      </w:pPr>
    </w:p>
    <w:sectPr>
      <w:footnotePr>
        <w:numFmt w:val="decimalHalfWidth"/>
      </w:footnotePr>
      <w:endnotePr>
        <w:numFmt w:val="chineseCounting"/>
      </w:endnotePr>
      <w:pgSz w:w="16837" w:h="11905" w:orient="landscape"/>
      <w:pgMar w:top="1587" w:right="2097" w:bottom="1474" w:left="1984" w:header="566" w:footer="13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9C8AE718-0F10-447A-B809-4F91560CAAEF}"/>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2" w:fontKey="{5F07627F-F540-4C94-9D0B-2DF41CB1C3D9}"/>
  </w:font>
  <w:font w:name="方正小标宋_GBK">
    <w:panose1 w:val="02000000000000000000"/>
    <w:charset w:val="86"/>
    <w:family w:val="script"/>
    <w:pitch w:val="default"/>
    <w:sig w:usb0="A00002BF" w:usb1="38CF7CFA" w:usb2="00082016" w:usb3="00000000" w:csb0="00040001" w:csb1="00000000"/>
    <w:embedRegular r:id="rId3" w:fontKey="{26A7C2E0-C311-42EE-B942-F6127F80C546}"/>
  </w:font>
  <w:font w:name="楷体_GB2312">
    <w:panose1 w:val="02010609030101010101"/>
    <w:charset w:val="86"/>
    <w:family w:val="auto"/>
    <w:pitch w:val="default"/>
    <w:sig w:usb0="00000001" w:usb1="080E0000" w:usb2="00000000" w:usb3="00000000" w:csb0="00040000" w:csb1="00000000"/>
    <w:embedRegular r:id="rId4" w:fontKey="{3625AC83-15A3-4C57-949A-B63F5A075EEA}"/>
  </w:font>
  <w:font w:name="方正黑体_GBK">
    <w:panose1 w:val="03000509000000000000"/>
    <w:charset w:val="86"/>
    <w:family w:val="script"/>
    <w:pitch w:val="default"/>
    <w:sig w:usb0="00000001" w:usb1="080E0000" w:usb2="00000000" w:usb3="00000000" w:csb0="00040000" w:csb1="00000000"/>
    <w:embedRegular r:id="rId5" w:fontKey="{1D634E15-9462-4F09-96A9-FF66D03EF28B}"/>
  </w:font>
  <w:font w:name="方正隶书_GBK">
    <w:altName w:val="隶书"/>
    <w:panose1 w:val="02000000000000000000"/>
    <w:charset w:val="86"/>
    <w:family w:val="auto"/>
    <w:pitch w:val="default"/>
    <w:sig w:usb0="00000000" w:usb1="00000000" w:usb2="00000000" w:usb3="00000000" w:csb0="00040000" w:csb1="00000000"/>
    <w:embedRegular r:id="rId6" w:fontKey="{4E4179E3-726A-4A71-BBB7-50B808738A87}"/>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0" w:line="240" w:lineRule="auto"/>
      <w:ind w:left="0" w:right="567" w:firstLine="0"/>
      <w:jc w:val="right"/>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40" w:line="240" w:lineRule="auto"/>
                            <w:ind w:left="0" w:right="567" w:firstLine="0"/>
                            <w:jc w:val="right"/>
                          </w:pPr>
                          <w:r>
                            <w:rPr>
                              <w:rFonts w:hint="eastAsia" w:ascii="宋体" w:hAnsi="宋体" w:eastAsia="宋体"/>
                              <w:sz w:val="28"/>
                            </w:rPr>
                            <w:t xml:space="preserve">— </w:t>
                          </w:r>
                          <w:r>
                            <w:rPr>
                              <w:rFonts w:hint="eastAsia" w:eastAsia="宋体"/>
                              <w:sz w:val="28"/>
                            </w:rPr>
                            <w:fldChar w:fldCharType="begin"/>
                          </w:r>
                          <w:r>
                            <w:rPr>
                              <w:rFonts w:hint="eastAsia" w:eastAsia="宋体"/>
                              <w:sz w:val="28"/>
                            </w:rPr>
                            <w:instrText xml:space="preserve"> PAGE \* Arabic \* MERGEFORMAT </w:instrText>
                          </w:r>
                          <w:r>
                            <w:rPr>
                              <w:rFonts w:hint="eastAsia" w:eastAsia="宋体"/>
                              <w:sz w:val="28"/>
                            </w:rPr>
                            <w:fldChar w:fldCharType="separate"/>
                          </w:r>
                          <w:r>
                            <w:t>1</w:t>
                          </w:r>
                          <w:r>
                            <w:rPr>
                              <w:rFonts w:hint="eastAsia" w:eastAsia="宋体"/>
                              <w:sz w:val="28"/>
                            </w:rPr>
                            <w:fldChar w:fldCharType="end"/>
                          </w:r>
                          <w:r>
                            <w:rPr>
                              <w:rFonts w:hint="eastAsia" w:eastAsia="宋体"/>
                              <w:sz w:val="28"/>
                            </w:rPr>
                            <w:t xml:space="preserve"> </w:t>
                          </w:r>
                          <w:r>
                            <w:rPr>
                              <w:rFonts w:hint="eastAsia" w:ascii="宋体" w:hAnsi="宋体" w:eastAsia="宋体"/>
                              <w:sz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spacing w:after="40" w:line="240" w:lineRule="auto"/>
                      <w:ind w:left="0" w:right="567" w:firstLine="0"/>
                      <w:jc w:val="right"/>
                    </w:pPr>
                    <w:r>
                      <w:rPr>
                        <w:rFonts w:hint="eastAsia" w:ascii="宋体" w:hAnsi="宋体" w:eastAsia="宋体"/>
                        <w:sz w:val="28"/>
                      </w:rPr>
                      <w:t xml:space="preserve">— </w:t>
                    </w:r>
                    <w:r>
                      <w:rPr>
                        <w:rFonts w:hint="eastAsia" w:eastAsia="宋体"/>
                        <w:sz w:val="28"/>
                      </w:rPr>
                      <w:fldChar w:fldCharType="begin"/>
                    </w:r>
                    <w:r>
                      <w:rPr>
                        <w:rFonts w:hint="eastAsia" w:eastAsia="宋体"/>
                        <w:sz w:val="28"/>
                      </w:rPr>
                      <w:instrText xml:space="preserve"> PAGE \* Arabic \* MERGEFORMAT </w:instrText>
                    </w:r>
                    <w:r>
                      <w:rPr>
                        <w:rFonts w:hint="eastAsia" w:eastAsia="宋体"/>
                        <w:sz w:val="28"/>
                      </w:rPr>
                      <w:fldChar w:fldCharType="separate"/>
                    </w:r>
                    <w:r>
                      <w:t>1</w:t>
                    </w:r>
                    <w:r>
                      <w:rPr>
                        <w:rFonts w:hint="eastAsia" w:eastAsia="宋体"/>
                        <w:sz w:val="28"/>
                      </w:rPr>
                      <w:fldChar w:fldCharType="end"/>
                    </w:r>
                    <w:r>
                      <w:rPr>
                        <w:rFonts w:hint="eastAsia" w:eastAsia="宋体"/>
                        <w:sz w:val="28"/>
                      </w:rPr>
                      <w:t xml:space="preserve"> </w:t>
                    </w:r>
                    <w:r>
                      <w:rPr>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0" w:line="240" w:lineRule="auto"/>
      <w:ind w:left="567" w:firstLine="0"/>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40" w:line="240" w:lineRule="auto"/>
                            <w:ind w:left="567" w:firstLine="0"/>
                          </w:pPr>
                          <w:r>
                            <w:rPr>
                              <w:rFonts w:hint="eastAsia" w:ascii="宋体" w:hAnsi="宋体" w:eastAsia="宋体"/>
                              <w:sz w:val="28"/>
                            </w:rPr>
                            <w:t xml:space="preserve">— </w:t>
                          </w:r>
                          <w:r>
                            <w:rPr>
                              <w:rFonts w:hint="eastAsia"/>
                              <w:sz w:val="28"/>
                            </w:rPr>
                            <w:fldChar w:fldCharType="begin"/>
                          </w:r>
                          <w:r>
                            <w:rPr>
                              <w:rFonts w:hint="eastAsia"/>
                              <w:sz w:val="28"/>
                            </w:rPr>
                            <w:instrText xml:space="preserve"> PAGE \* Arabic \* MERGEFORMAT </w:instrText>
                          </w:r>
                          <w:r>
                            <w:rPr>
                              <w:rFonts w:hint="eastAsia"/>
                              <w:sz w:val="28"/>
                            </w:rPr>
                            <w:fldChar w:fldCharType="separate"/>
                          </w:r>
                          <w:r>
                            <w:t>2</w:t>
                          </w:r>
                          <w:r>
                            <w:rPr>
                              <w:rFonts w:hint="eastAsia"/>
                              <w:sz w:val="28"/>
                            </w:rPr>
                            <w:fldChar w:fldCharType="end"/>
                          </w:r>
                          <w:r>
                            <w:rPr>
                              <w:rFonts w:hint="eastAsia"/>
                              <w:sz w:val="28"/>
                            </w:rPr>
                            <w:t xml:space="preserve"> </w:t>
                          </w:r>
                          <w:r>
                            <w:rPr>
                              <w:rFonts w:hint="eastAsia" w:ascii="宋体" w:hAnsi="宋体" w:eastAsia="宋体"/>
                              <w:sz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spacing w:after="40" w:line="240" w:lineRule="auto"/>
                      <w:ind w:left="567" w:firstLine="0"/>
                    </w:pPr>
                    <w:r>
                      <w:rPr>
                        <w:rFonts w:hint="eastAsia" w:ascii="宋体" w:hAnsi="宋体" w:eastAsia="宋体"/>
                        <w:sz w:val="28"/>
                      </w:rPr>
                      <w:t xml:space="preserve">— </w:t>
                    </w:r>
                    <w:r>
                      <w:rPr>
                        <w:rFonts w:hint="eastAsia"/>
                        <w:sz w:val="28"/>
                      </w:rPr>
                      <w:fldChar w:fldCharType="begin"/>
                    </w:r>
                    <w:r>
                      <w:rPr>
                        <w:rFonts w:hint="eastAsia"/>
                        <w:sz w:val="28"/>
                      </w:rPr>
                      <w:instrText xml:space="preserve"> PAGE \* Arabic \* MERGEFORMAT </w:instrText>
                    </w:r>
                    <w:r>
                      <w:rPr>
                        <w:rFonts w:hint="eastAsia"/>
                        <w:sz w:val="28"/>
                      </w:rPr>
                      <w:fldChar w:fldCharType="separate"/>
                    </w:r>
                    <w:r>
                      <w:t>2</w:t>
                    </w:r>
                    <w:r>
                      <w:rPr>
                        <w:rFonts w:hint="eastAsia"/>
                        <w:sz w:val="28"/>
                      </w:rPr>
                      <w:fldChar w:fldCharType="end"/>
                    </w:r>
                    <w:r>
                      <w:rPr>
                        <w:rFonts w:hint="eastAsia"/>
                        <w:sz w:val="28"/>
                      </w:rPr>
                      <w:t xml:space="preserve"> </w:t>
                    </w:r>
                    <w:r>
                      <w:rPr>
                        <w:rFonts w:hint="eastAsia"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6" w:lineRule="auto"/>
      </w:pPr>
      <w:r>
        <w:separator/>
      </w:r>
    </w:p>
  </w:footnote>
  <w:footnote w:type="continuationSeparator" w:id="1">
    <w:p>
      <w:pPr>
        <w:spacing w:line="34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A0362"/>
    <w:multiLevelType w:val="singleLevel"/>
    <w:tmpl w:val="92AA0362"/>
    <w:lvl w:ilvl="0" w:tentative="0">
      <w:start w:val="1"/>
      <w:numFmt w:val="chineseCounting"/>
      <w:suff w:val="nothing"/>
      <w:lvlText w:val="（%1）"/>
      <w:lvlJc w:val="left"/>
      <w:pPr>
        <w:ind w:left="0" w:firstLine="420"/>
      </w:pPr>
      <w:rPr>
        <w:rFonts w:hint="eastAsia"/>
      </w:rPr>
    </w:lvl>
  </w:abstractNum>
  <w:abstractNum w:abstractNumId="1">
    <w:nsid w:val="B40F192E"/>
    <w:multiLevelType w:val="singleLevel"/>
    <w:tmpl w:val="B40F192E"/>
    <w:lvl w:ilvl="0" w:tentative="0">
      <w:start w:val="1"/>
      <w:numFmt w:val="chineseCounting"/>
      <w:suff w:val="nothing"/>
      <w:lvlText w:val="（%1）"/>
      <w:lvlJc w:val="left"/>
      <w:pPr>
        <w:ind w:left="0" w:firstLine="420"/>
      </w:pPr>
      <w:rPr>
        <w:rFonts w:hint="eastAsia"/>
      </w:rPr>
    </w:lvl>
  </w:abstractNum>
  <w:abstractNum w:abstractNumId="2">
    <w:nsid w:val="B4D0C55D"/>
    <w:multiLevelType w:val="singleLevel"/>
    <w:tmpl w:val="B4D0C55D"/>
    <w:lvl w:ilvl="0" w:tentative="0">
      <w:start w:val="1"/>
      <w:numFmt w:val="chineseCounting"/>
      <w:suff w:val="nothing"/>
      <w:lvlText w:val="（%1）"/>
      <w:lvlJc w:val="left"/>
      <w:pPr>
        <w:ind w:left="0" w:firstLine="420"/>
      </w:pPr>
      <w:rPr>
        <w:rFonts w:hint="eastAsia"/>
      </w:rPr>
    </w:lvl>
  </w:abstractNum>
  <w:abstractNum w:abstractNumId="3">
    <w:nsid w:val="B6434FB4"/>
    <w:multiLevelType w:val="singleLevel"/>
    <w:tmpl w:val="B6434FB4"/>
    <w:lvl w:ilvl="0" w:tentative="0">
      <w:start w:val="1"/>
      <w:numFmt w:val="chineseCounting"/>
      <w:suff w:val="nothing"/>
      <w:lvlText w:val="（%1）"/>
      <w:lvlJc w:val="left"/>
      <w:pPr>
        <w:ind w:left="0" w:firstLine="420"/>
      </w:pPr>
      <w:rPr>
        <w:rFonts w:hint="eastAsia"/>
      </w:rPr>
    </w:lvl>
  </w:abstractNum>
  <w:abstractNum w:abstractNumId="4">
    <w:nsid w:val="BF0EEE3B"/>
    <w:multiLevelType w:val="singleLevel"/>
    <w:tmpl w:val="BF0EEE3B"/>
    <w:lvl w:ilvl="0" w:tentative="0">
      <w:start w:val="1"/>
      <w:numFmt w:val="chineseCounting"/>
      <w:suff w:val="nothing"/>
      <w:lvlText w:val="（%1）"/>
      <w:lvlJc w:val="left"/>
      <w:pPr>
        <w:ind w:left="0" w:firstLine="420"/>
      </w:pPr>
      <w:rPr>
        <w:rFonts w:hint="eastAsia"/>
      </w:rPr>
    </w:lvl>
  </w:abstractNum>
  <w:abstractNum w:abstractNumId="5">
    <w:nsid w:val="C2694A52"/>
    <w:multiLevelType w:val="singleLevel"/>
    <w:tmpl w:val="C2694A52"/>
    <w:lvl w:ilvl="0" w:tentative="0">
      <w:start w:val="1"/>
      <w:numFmt w:val="chineseCounting"/>
      <w:suff w:val="nothing"/>
      <w:lvlText w:val="（%1）"/>
      <w:lvlJc w:val="left"/>
      <w:pPr>
        <w:ind w:left="0" w:firstLine="420"/>
      </w:pPr>
      <w:rPr>
        <w:rFonts w:hint="eastAsia"/>
      </w:rPr>
    </w:lvl>
  </w:abstractNum>
  <w:abstractNum w:abstractNumId="6">
    <w:nsid w:val="DF561BFC"/>
    <w:multiLevelType w:val="singleLevel"/>
    <w:tmpl w:val="DF561BFC"/>
    <w:lvl w:ilvl="0" w:tentative="0">
      <w:start w:val="1"/>
      <w:numFmt w:val="chineseCounting"/>
      <w:suff w:val="nothing"/>
      <w:lvlText w:val="（%1）"/>
      <w:lvlJc w:val="left"/>
      <w:pPr>
        <w:ind w:left="0" w:firstLine="420"/>
      </w:pPr>
      <w:rPr>
        <w:rFonts w:hint="eastAsia"/>
      </w:rPr>
    </w:lvl>
  </w:abstractNum>
  <w:abstractNum w:abstractNumId="7">
    <w:nsid w:val="E2C07361"/>
    <w:multiLevelType w:val="singleLevel"/>
    <w:tmpl w:val="E2C07361"/>
    <w:lvl w:ilvl="0" w:tentative="0">
      <w:start w:val="1"/>
      <w:numFmt w:val="chineseCounting"/>
      <w:suff w:val="nothing"/>
      <w:lvlText w:val="（%1）"/>
      <w:lvlJc w:val="left"/>
      <w:pPr>
        <w:ind w:left="0" w:firstLine="420"/>
      </w:pPr>
      <w:rPr>
        <w:rFonts w:hint="eastAsia"/>
      </w:rPr>
    </w:lvl>
  </w:abstractNum>
  <w:abstractNum w:abstractNumId="8">
    <w:nsid w:val="EA979A23"/>
    <w:multiLevelType w:val="singleLevel"/>
    <w:tmpl w:val="EA979A23"/>
    <w:lvl w:ilvl="0" w:tentative="0">
      <w:start w:val="1"/>
      <w:numFmt w:val="chineseCounting"/>
      <w:suff w:val="nothing"/>
      <w:lvlText w:val="（%1）"/>
      <w:lvlJc w:val="left"/>
      <w:pPr>
        <w:ind w:left="0" w:firstLine="420"/>
      </w:pPr>
      <w:rPr>
        <w:rFonts w:hint="eastAsia"/>
      </w:rPr>
    </w:lvl>
  </w:abstractNum>
  <w:abstractNum w:abstractNumId="9">
    <w:nsid w:val="F30F0E2F"/>
    <w:multiLevelType w:val="singleLevel"/>
    <w:tmpl w:val="F30F0E2F"/>
    <w:lvl w:ilvl="0" w:tentative="0">
      <w:start w:val="1"/>
      <w:numFmt w:val="chineseCounting"/>
      <w:suff w:val="nothing"/>
      <w:lvlText w:val="第%1条 "/>
      <w:lvlJc w:val="left"/>
      <w:pPr>
        <w:ind w:left="0" w:firstLine="420"/>
      </w:pPr>
      <w:rPr>
        <w:rFonts w:hint="eastAsia" w:ascii="方正仿宋_GBK" w:hAnsi="方正仿宋_GBK" w:eastAsia="方正仿宋_GBK" w:cs="方正仿宋_GBK"/>
        <w:b/>
        <w:bCs/>
      </w:rPr>
    </w:lvl>
  </w:abstractNum>
  <w:abstractNum w:abstractNumId="10">
    <w:nsid w:val="0000000B"/>
    <w:multiLevelType w:val="multilevel"/>
    <w:tmpl w:val="0000000B"/>
    <w:lvl w:ilvl="0" w:tentative="0">
      <w:start w:val="1"/>
      <w:numFmt w:val="chineseCountingThousand"/>
      <w:pStyle w:val="16"/>
      <w:lvlText w:val="第%1条"/>
      <w:lvlJc w:val="left"/>
      <w:pPr>
        <w:tabs>
          <w:tab w:val="left" w:pos="1418"/>
        </w:tabs>
        <w:ind w:left="227" w:firstLine="624"/>
      </w:pPr>
      <w:rPr>
        <w:b/>
        <w:lang w:val="en-US"/>
      </w:rPr>
    </w:lvl>
    <w:lvl w:ilvl="1" w:tentative="0">
      <w:start w:val="1"/>
      <w:numFmt w:val="decimal"/>
      <w:lvlText w:val="%1.%2"/>
      <w:lvlJc w:val="left"/>
      <w:pPr>
        <w:ind w:left="-142" w:hanging="567"/>
      </w:pPr>
      <w:rPr>
        <w:rFonts w:hint="eastAsia"/>
      </w:rPr>
    </w:lvl>
    <w:lvl w:ilvl="2" w:tentative="0">
      <w:start w:val="1"/>
      <w:numFmt w:val="decimal"/>
      <w:lvlText w:val="%1.%2.%3"/>
      <w:lvlJc w:val="left"/>
      <w:pPr>
        <w:ind w:left="284" w:hanging="567"/>
      </w:pPr>
      <w:rPr>
        <w:rFonts w:hint="eastAsia"/>
      </w:rPr>
    </w:lvl>
    <w:lvl w:ilvl="3" w:tentative="0">
      <w:start w:val="1"/>
      <w:numFmt w:val="decimal"/>
      <w:lvlText w:val="%1.%2.%3.%4"/>
      <w:lvlJc w:val="left"/>
      <w:pPr>
        <w:ind w:left="850" w:hanging="708"/>
      </w:pPr>
      <w:rPr>
        <w:rFonts w:hint="eastAsia"/>
      </w:rPr>
    </w:lvl>
    <w:lvl w:ilvl="4" w:tentative="0">
      <w:start w:val="1"/>
      <w:numFmt w:val="decimal"/>
      <w:lvlText w:val="%1.%2.%3.%4.%5"/>
      <w:lvlJc w:val="left"/>
      <w:pPr>
        <w:ind w:left="1417" w:hanging="850"/>
      </w:pPr>
      <w:rPr>
        <w:rFonts w:hint="eastAsia"/>
      </w:rPr>
    </w:lvl>
    <w:lvl w:ilvl="5" w:tentative="0">
      <w:start w:val="1"/>
      <w:numFmt w:val="decimal"/>
      <w:lvlText w:val="%1.%2.%3.%4.%5.%6"/>
      <w:lvlJc w:val="left"/>
      <w:pPr>
        <w:ind w:left="2126" w:hanging="1134"/>
      </w:pPr>
      <w:rPr>
        <w:rFonts w:hint="eastAsia"/>
      </w:rPr>
    </w:lvl>
    <w:lvl w:ilvl="6" w:tentative="0">
      <w:start w:val="1"/>
      <w:numFmt w:val="decimal"/>
      <w:lvlText w:val="%1.%2.%3.%4.%5.%6.%7"/>
      <w:lvlJc w:val="left"/>
      <w:pPr>
        <w:ind w:left="2693" w:hanging="1276"/>
      </w:pPr>
      <w:rPr>
        <w:rFonts w:hint="eastAsia"/>
      </w:rPr>
    </w:lvl>
    <w:lvl w:ilvl="7" w:tentative="0">
      <w:start w:val="1"/>
      <w:numFmt w:val="decimal"/>
      <w:lvlText w:val="%1.%2.%3.%4.%5.%6.%7.%8"/>
      <w:lvlJc w:val="left"/>
      <w:pPr>
        <w:ind w:left="3260" w:hanging="1418"/>
      </w:pPr>
      <w:rPr>
        <w:rFonts w:hint="eastAsia"/>
      </w:rPr>
    </w:lvl>
    <w:lvl w:ilvl="8" w:tentative="0">
      <w:start w:val="1"/>
      <w:numFmt w:val="decimal"/>
      <w:lvlText w:val="%1.%2.%3.%4.%5.%6.%7.%8.%9"/>
      <w:lvlJc w:val="left"/>
      <w:pPr>
        <w:ind w:left="3968" w:hanging="1700"/>
      </w:pPr>
      <w:rPr>
        <w:rFonts w:hint="eastAsia"/>
      </w:rPr>
    </w:lvl>
  </w:abstractNum>
  <w:abstractNum w:abstractNumId="11">
    <w:nsid w:val="1202296E"/>
    <w:multiLevelType w:val="singleLevel"/>
    <w:tmpl w:val="1202296E"/>
    <w:lvl w:ilvl="0" w:tentative="0">
      <w:start w:val="1"/>
      <w:numFmt w:val="chineseCounting"/>
      <w:suff w:val="nothing"/>
      <w:lvlText w:val="（%1）"/>
      <w:lvlJc w:val="left"/>
      <w:pPr>
        <w:ind w:left="0" w:firstLine="420"/>
      </w:pPr>
      <w:rPr>
        <w:rFonts w:hint="eastAsia"/>
      </w:rPr>
    </w:lvl>
  </w:abstractNum>
  <w:abstractNum w:abstractNumId="12">
    <w:nsid w:val="3C1A3C08"/>
    <w:multiLevelType w:val="singleLevel"/>
    <w:tmpl w:val="3C1A3C08"/>
    <w:lvl w:ilvl="0" w:tentative="0">
      <w:start w:val="1"/>
      <w:numFmt w:val="chineseCounting"/>
      <w:suff w:val="nothing"/>
      <w:lvlText w:val="（%1）"/>
      <w:lvlJc w:val="left"/>
      <w:pPr>
        <w:ind w:left="0" w:firstLine="420"/>
      </w:pPr>
      <w:rPr>
        <w:rFonts w:hint="eastAsia"/>
      </w:rPr>
    </w:lvl>
  </w:abstractNum>
  <w:abstractNum w:abstractNumId="13">
    <w:nsid w:val="41175D5A"/>
    <w:multiLevelType w:val="singleLevel"/>
    <w:tmpl w:val="41175D5A"/>
    <w:lvl w:ilvl="0" w:tentative="0">
      <w:start w:val="1"/>
      <w:numFmt w:val="chineseCounting"/>
      <w:suff w:val="nothing"/>
      <w:lvlText w:val="（%1）"/>
      <w:lvlJc w:val="left"/>
      <w:pPr>
        <w:ind w:left="0" w:firstLine="420"/>
      </w:pPr>
      <w:rPr>
        <w:rFonts w:hint="eastAsia"/>
      </w:rPr>
    </w:lvl>
  </w:abstractNum>
  <w:abstractNum w:abstractNumId="14">
    <w:nsid w:val="44F6658D"/>
    <w:multiLevelType w:val="singleLevel"/>
    <w:tmpl w:val="44F6658D"/>
    <w:lvl w:ilvl="0" w:tentative="0">
      <w:start w:val="1"/>
      <w:numFmt w:val="chineseCounting"/>
      <w:suff w:val="nothing"/>
      <w:lvlText w:val="（%1）"/>
      <w:lvlJc w:val="left"/>
      <w:pPr>
        <w:ind w:left="0" w:firstLine="420"/>
      </w:pPr>
      <w:rPr>
        <w:rFonts w:hint="eastAsia"/>
      </w:rPr>
    </w:lvl>
  </w:abstractNum>
  <w:abstractNum w:abstractNumId="15">
    <w:nsid w:val="48B5666A"/>
    <w:multiLevelType w:val="singleLevel"/>
    <w:tmpl w:val="48B5666A"/>
    <w:lvl w:ilvl="0" w:tentative="0">
      <w:start w:val="1"/>
      <w:numFmt w:val="chineseCounting"/>
      <w:suff w:val="nothing"/>
      <w:lvlText w:val="（%1）"/>
      <w:lvlJc w:val="left"/>
      <w:pPr>
        <w:ind w:left="0" w:firstLine="420"/>
      </w:pPr>
      <w:rPr>
        <w:rFonts w:hint="eastAsia"/>
      </w:rPr>
    </w:lvl>
  </w:abstractNum>
  <w:abstractNum w:abstractNumId="16">
    <w:nsid w:val="55D8B22A"/>
    <w:multiLevelType w:val="singleLevel"/>
    <w:tmpl w:val="55D8B22A"/>
    <w:lvl w:ilvl="0" w:tentative="0">
      <w:start w:val="1"/>
      <w:numFmt w:val="chineseCounting"/>
      <w:suff w:val="nothing"/>
      <w:lvlText w:val="（%1）"/>
      <w:lvlJc w:val="left"/>
      <w:pPr>
        <w:ind w:left="0" w:firstLine="420"/>
      </w:pPr>
      <w:rPr>
        <w:rFonts w:hint="eastAsia"/>
      </w:rPr>
    </w:lvl>
  </w:abstractNum>
  <w:abstractNum w:abstractNumId="17">
    <w:nsid w:val="683D2D77"/>
    <w:multiLevelType w:val="singleLevel"/>
    <w:tmpl w:val="683D2D77"/>
    <w:lvl w:ilvl="0" w:tentative="0">
      <w:start w:val="1"/>
      <w:numFmt w:val="chineseCounting"/>
      <w:suff w:val="nothing"/>
      <w:lvlText w:val="（%1）"/>
      <w:lvlJc w:val="left"/>
      <w:pPr>
        <w:ind w:left="0" w:firstLine="420"/>
      </w:pPr>
      <w:rPr>
        <w:rFonts w:hint="eastAsia"/>
      </w:rPr>
    </w:lvl>
  </w:abstractNum>
  <w:abstractNum w:abstractNumId="18">
    <w:nsid w:val="6F9F643E"/>
    <w:multiLevelType w:val="singleLevel"/>
    <w:tmpl w:val="6F9F643E"/>
    <w:lvl w:ilvl="0" w:tentative="0">
      <w:start w:val="1"/>
      <w:numFmt w:val="chineseCounting"/>
      <w:suff w:val="nothing"/>
      <w:lvlText w:val="（%1）"/>
      <w:lvlJc w:val="left"/>
      <w:pPr>
        <w:ind w:left="0" w:firstLine="420"/>
      </w:pPr>
      <w:rPr>
        <w:rFonts w:hint="eastAsia"/>
      </w:rPr>
    </w:lvl>
  </w:abstractNum>
  <w:abstractNum w:abstractNumId="19">
    <w:nsid w:val="7655EBE2"/>
    <w:multiLevelType w:val="singleLevel"/>
    <w:tmpl w:val="7655EBE2"/>
    <w:lvl w:ilvl="0" w:tentative="0">
      <w:start w:val="1"/>
      <w:numFmt w:val="chineseCounting"/>
      <w:suff w:val="nothing"/>
      <w:lvlText w:val="（%1）"/>
      <w:lvlJc w:val="left"/>
      <w:pPr>
        <w:ind w:left="0" w:firstLine="420"/>
      </w:pPr>
      <w:rPr>
        <w:rFonts w:hint="eastAsia"/>
      </w:rPr>
    </w:lvl>
  </w:abstractNum>
  <w:num w:numId="1">
    <w:abstractNumId w:val="10"/>
  </w:num>
  <w:num w:numId="2">
    <w:abstractNumId w:val="9"/>
  </w:num>
  <w:num w:numId="3">
    <w:abstractNumId w:val="19"/>
  </w:num>
  <w:num w:numId="4">
    <w:abstractNumId w:val="7"/>
  </w:num>
  <w:num w:numId="5">
    <w:abstractNumId w:val="14"/>
  </w:num>
  <w:num w:numId="6">
    <w:abstractNumId w:val="16"/>
  </w:num>
  <w:num w:numId="7">
    <w:abstractNumId w:val="3"/>
  </w:num>
  <w:num w:numId="8">
    <w:abstractNumId w:val="13"/>
  </w:num>
  <w:num w:numId="9">
    <w:abstractNumId w:val="12"/>
  </w:num>
  <w:num w:numId="10">
    <w:abstractNumId w:val="4"/>
  </w:num>
  <w:num w:numId="11">
    <w:abstractNumId w:val="18"/>
  </w:num>
  <w:num w:numId="12">
    <w:abstractNumId w:val="2"/>
  </w:num>
  <w:num w:numId="13">
    <w:abstractNumId w:val="5"/>
  </w:num>
  <w:num w:numId="14">
    <w:abstractNumId w:val="15"/>
  </w:num>
  <w:num w:numId="15">
    <w:abstractNumId w:val="8"/>
  </w:num>
  <w:num w:numId="16">
    <w:abstractNumId w:val="0"/>
  </w:num>
  <w:num w:numId="17">
    <w:abstractNumId w:val="1"/>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ZWI1YWJmOWNkZGRjZjY2ODBiNTJhNzliNTExOTUifQ=="/>
  </w:docVars>
  <w:rsids>
    <w:rsidRoot w:val="2061162D"/>
    <w:rsid w:val="00060131"/>
    <w:rsid w:val="0028455D"/>
    <w:rsid w:val="0030437A"/>
    <w:rsid w:val="005B72BC"/>
    <w:rsid w:val="00720A04"/>
    <w:rsid w:val="007C4C5A"/>
    <w:rsid w:val="00891B1E"/>
    <w:rsid w:val="0091193C"/>
    <w:rsid w:val="009301E9"/>
    <w:rsid w:val="00973530"/>
    <w:rsid w:val="00B86E73"/>
    <w:rsid w:val="00CD1ECB"/>
    <w:rsid w:val="00CE1AB8"/>
    <w:rsid w:val="00DB0523"/>
    <w:rsid w:val="00EA72EC"/>
    <w:rsid w:val="01372FDC"/>
    <w:rsid w:val="01891473"/>
    <w:rsid w:val="03191FA4"/>
    <w:rsid w:val="04A46E16"/>
    <w:rsid w:val="04DB5913"/>
    <w:rsid w:val="05632D4B"/>
    <w:rsid w:val="059C5757"/>
    <w:rsid w:val="05DF1239"/>
    <w:rsid w:val="067A6533"/>
    <w:rsid w:val="06B75171"/>
    <w:rsid w:val="08EC6786"/>
    <w:rsid w:val="094207E1"/>
    <w:rsid w:val="0A494436"/>
    <w:rsid w:val="0B9417F3"/>
    <w:rsid w:val="0C0E264F"/>
    <w:rsid w:val="0EB073AA"/>
    <w:rsid w:val="0EB20F37"/>
    <w:rsid w:val="0F94357C"/>
    <w:rsid w:val="0FA17B3F"/>
    <w:rsid w:val="100F0393"/>
    <w:rsid w:val="10284C2D"/>
    <w:rsid w:val="11AC4C95"/>
    <w:rsid w:val="133B03CE"/>
    <w:rsid w:val="138A29EA"/>
    <w:rsid w:val="13CE7E20"/>
    <w:rsid w:val="149D3ECB"/>
    <w:rsid w:val="163B4632"/>
    <w:rsid w:val="171C1AEC"/>
    <w:rsid w:val="1815740A"/>
    <w:rsid w:val="1851029A"/>
    <w:rsid w:val="1A141AE6"/>
    <w:rsid w:val="1A3F642C"/>
    <w:rsid w:val="1A58570C"/>
    <w:rsid w:val="1B8E7054"/>
    <w:rsid w:val="1CF8641B"/>
    <w:rsid w:val="1CFD1BCA"/>
    <w:rsid w:val="1D41133B"/>
    <w:rsid w:val="1DB1116B"/>
    <w:rsid w:val="1E52469D"/>
    <w:rsid w:val="1E8C504F"/>
    <w:rsid w:val="1EC5130A"/>
    <w:rsid w:val="200C260B"/>
    <w:rsid w:val="2061162D"/>
    <w:rsid w:val="21146C77"/>
    <w:rsid w:val="21617F9F"/>
    <w:rsid w:val="2285270B"/>
    <w:rsid w:val="228C4BA7"/>
    <w:rsid w:val="24FE1BFE"/>
    <w:rsid w:val="25A9134E"/>
    <w:rsid w:val="265D0AFA"/>
    <w:rsid w:val="271413A6"/>
    <w:rsid w:val="276E6C48"/>
    <w:rsid w:val="282D732A"/>
    <w:rsid w:val="285E4618"/>
    <w:rsid w:val="286355B9"/>
    <w:rsid w:val="287368C6"/>
    <w:rsid w:val="28742C3C"/>
    <w:rsid w:val="2A3871F7"/>
    <w:rsid w:val="2A622128"/>
    <w:rsid w:val="2C6830D5"/>
    <w:rsid w:val="2CA76D5C"/>
    <w:rsid w:val="2D1C2FCC"/>
    <w:rsid w:val="2D5E1EFA"/>
    <w:rsid w:val="2DD93E27"/>
    <w:rsid w:val="2E4969AE"/>
    <w:rsid w:val="2ED57EB2"/>
    <w:rsid w:val="2FDE042E"/>
    <w:rsid w:val="2FE6027A"/>
    <w:rsid w:val="30100D6B"/>
    <w:rsid w:val="31662A68"/>
    <w:rsid w:val="328C29A2"/>
    <w:rsid w:val="32DD1B3A"/>
    <w:rsid w:val="330C4696"/>
    <w:rsid w:val="331A75FE"/>
    <w:rsid w:val="33215E92"/>
    <w:rsid w:val="341B7D3A"/>
    <w:rsid w:val="36010A90"/>
    <w:rsid w:val="361D63DA"/>
    <w:rsid w:val="36826596"/>
    <w:rsid w:val="379A4E5A"/>
    <w:rsid w:val="379B5F0D"/>
    <w:rsid w:val="37C60704"/>
    <w:rsid w:val="39EE79EF"/>
    <w:rsid w:val="3B535DEC"/>
    <w:rsid w:val="3BF7139F"/>
    <w:rsid w:val="3DD05E38"/>
    <w:rsid w:val="3E3F1912"/>
    <w:rsid w:val="3F1B52E6"/>
    <w:rsid w:val="3FA24CEE"/>
    <w:rsid w:val="3FD16588"/>
    <w:rsid w:val="40DC06F8"/>
    <w:rsid w:val="41A13730"/>
    <w:rsid w:val="42905B96"/>
    <w:rsid w:val="430D3E24"/>
    <w:rsid w:val="44CF2AD9"/>
    <w:rsid w:val="45466CB0"/>
    <w:rsid w:val="45D466E2"/>
    <w:rsid w:val="461560F7"/>
    <w:rsid w:val="4699240B"/>
    <w:rsid w:val="46B82C55"/>
    <w:rsid w:val="46C51744"/>
    <w:rsid w:val="47DE1152"/>
    <w:rsid w:val="48C305FB"/>
    <w:rsid w:val="495D1965"/>
    <w:rsid w:val="49FF126F"/>
    <w:rsid w:val="4A282B58"/>
    <w:rsid w:val="4A5E6CB3"/>
    <w:rsid w:val="4BAD42D1"/>
    <w:rsid w:val="4BB70474"/>
    <w:rsid w:val="4CC002C4"/>
    <w:rsid w:val="4D122AF1"/>
    <w:rsid w:val="4DD0778F"/>
    <w:rsid w:val="4E280563"/>
    <w:rsid w:val="4F696D37"/>
    <w:rsid w:val="51F107BF"/>
    <w:rsid w:val="528D912C"/>
    <w:rsid w:val="52F23C76"/>
    <w:rsid w:val="53972D8B"/>
    <w:rsid w:val="54F8543C"/>
    <w:rsid w:val="55230843"/>
    <w:rsid w:val="55A23DFF"/>
    <w:rsid w:val="567C6497"/>
    <w:rsid w:val="57B439EF"/>
    <w:rsid w:val="57C30195"/>
    <w:rsid w:val="58030768"/>
    <w:rsid w:val="58C07C9A"/>
    <w:rsid w:val="58F52D1D"/>
    <w:rsid w:val="593A6404"/>
    <w:rsid w:val="59A4672A"/>
    <w:rsid w:val="59C15522"/>
    <w:rsid w:val="5A571127"/>
    <w:rsid w:val="5A69419E"/>
    <w:rsid w:val="5ADB7E49"/>
    <w:rsid w:val="5B4947FD"/>
    <w:rsid w:val="5CE13766"/>
    <w:rsid w:val="5CEA703F"/>
    <w:rsid w:val="5D372F80"/>
    <w:rsid w:val="5E9B18E2"/>
    <w:rsid w:val="5EAB31E8"/>
    <w:rsid w:val="5F081ADC"/>
    <w:rsid w:val="5FEF1CF6"/>
    <w:rsid w:val="610C68D8"/>
    <w:rsid w:val="62230555"/>
    <w:rsid w:val="625D355F"/>
    <w:rsid w:val="63BC189E"/>
    <w:rsid w:val="64952BCB"/>
    <w:rsid w:val="65C068A5"/>
    <w:rsid w:val="68110CE7"/>
    <w:rsid w:val="697F12D7"/>
    <w:rsid w:val="6A3A7AE1"/>
    <w:rsid w:val="6AB842EF"/>
    <w:rsid w:val="6B172F60"/>
    <w:rsid w:val="6B2B7673"/>
    <w:rsid w:val="6CDC7052"/>
    <w:rsid w:val="6CF75A64"/>
    <w:rsid w:val="6DF7299E"/>
    <w:rsid w:val="6EED2C82"/>
    <w:rsid w:val="6FF369CB"/>
    <w:rsid w:val="70487286"/>
    <w:rsid w:val="7072117E"/>
    <w:rsid w:val="70AE335F"/>
    <w:rsid w:val="71081A47"/>
    <w:rsid w:val="715C7408"/>
    <w:rsid w:val="71E13C65"/>
    <w:rsid w:val="73CB4825"/>
    <w:rsid w:val="74125285"/>
    <w:rsid w:val="75EA5EA8"/>
    <w:rsid w:val="76C423B3"/>
    <w:rsid w:val="78AF606F"/>
    <w:rsid w:val="78D655B0"/>
    <w:rsid w:val="795904EB"/>
    <w:rsid w:val="79C974E0"/>
    <w:rsid w:val="7A1249CE"/>
    <w:rsid w:val="7A7F6493"/>
    <w:rsid w:val="7A9827B0"/>
    <w:rsid w:val="7B30652D"/>
    <w:rsid w:val="7C045E5F"/>
    <w:rsid w:val="7C314533"/>
    <w:rsid w:val="7D3779C7"/>
    <w:rsid w:val="7D4F42E9"/>
    <w:rsid w:val="7D76142E"/>
    <w:rsid w:val="7EA53A8B"/>
    <w:rsid w:val="7F482A06"/>
    <w:rsid w:val="7F6030B1"/>
    <w:rsid w:val="7FBB79EF"/>
    <w:rsid w:val="DFF36AF0"/>
    <w:rsid w:val="F8756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1"/>
    <w:qFormat/>
    <w:uiPriority w:val="0"/>
    <w:pPr>
      <w:spacing w:line="240" w:lineRule="auto"/>
    </w:pPr>
    <w:rPr>
      <w:sz w:val="18"/>
      <w:szCs w:val="18"/>
    </w:rPr>
  </w:style>
  <w:style w:type="paragraph" w:styleId="4">
    <w:name w:val="footer"/>
    <w:basedOn w:val="1"/>
    <w:link w:val="12"/>
    <w:qFormat/>
    <w:uiPriority w:val="0"/>
    <w:pPr>
      <w:tabs>
        <w:tab w:val="center" w:pos="4153"/>
        <w:tab w:val="right" w:pos="8306"/>
      </w:tabs>
      <w:snapToGrid w:val="0"/>
      <w:spacing w:line="240" w:lineRule="auto"/>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rFonts w:ascii="Times New Roman" w:hAnsi="Times New Roman" w:eastAsia="仿宋_GB2312" w:cs="Times New Roman"/>
      <w:sz w:val="32"/>
    </w:rPr>
  </w:style>
  <w:style w:type="character" w:customStyle="1" w:styleId="11">
    <w:name w:val="批注框文本 Char"/>
    <w:basedOn w:val="8"/>
    <w:link w:val="3"/>
    <w:qFormat/>
    <w:uiPriority w:val="0"/>
    <w:rPr>
      <w:rFonts w:ascii="Times New Roman" w:hAnsi="Times New Roman" w:eastAsia="仿宋_GB2312" w:cs="Times New Roman"/>
      <w:sz w:val="18"/>
      <w:szCs w:val="18"/>
    </w:rPr>
  </w:style>
  <w:style w:type="character" w:customStyle="1" w:styleId="12">
    <w:name w:val="页脚 Char"/>
    <w:basedOn w:val="8"/>
    <w:link w:val="4"/>
    <w:qFormat/>
    <w:uiPriority w:val="0"/>
    <w:rPr>
      <w:rFonts w:ascii="Times New Roman" w:hAnsi="Times New Roman" w:eastAsia="仿宋_GB2312" w:cs="Times New Roman"/>
      <w:sz w:val="18"/>
      <w:szCs w:val="18"/>
    </w:rPr>
  </w:style>
  <w:style w:type="character" w:customStyle="1" w:styleId="13">
    <w:name w:val="页眉 Char"/>
    <w:basedOn w:val="8"/>
    <w:link w:val="5"/>
    <w:qFormat/>
    <w:uiPriority w:val="0"/>
    <w:rPr>
      <w:rFonts w:ascii="Times New Roman" w:hAnsi="Times New Roman" w:eastAsia="仿宋_GB2312" w:cs="Times New Roman"/>
      <w:sz w:val="18"/>
      <w:szCs w:val="18"/>
    </w:rPr>
  </w:style>
  <w:style w:type="character" w:customStyle="1" w:styleId="14">
    <w:name w:val="批注主题 Char"/>
    <w:basedOn w:val="10"/>
    <w:link w:val="6"/>
    <w:qFormat/>
    <w:uiPriority w:val="0"/>
    <w:rPr>
      <w:rFonts w:ascii="Times New Roman" w:hAnsi="Times New Roman" w:eastAsia="仿宋_GB2312" w:cs="Times New Roman"/>
      <w:b/>
      <w:bCs/>
      <w:sz w:val="32"/>
    </w:rPr>
  </w:style>
  <w:style w:type="paragraph" w:customStyle="1" w:styleId="15">
    <w:name w:val="章"/>
    <w:basedOn w:val="1"/>
    <w:next w:val="16"/>
    <w:qFormat/>
    <w:uiPriority w:val="0"/>
    <w:pPr>
      <w:spacing w:before="156" w:beforeLines="50" w:after="156" w:afterLines="50" w:line="360" w:lineRule="auto"/>
      <w:jc w:val="center"/>
      <w:outlineLvl w:val="0"/>
    </w:pPr>
    <w:rPr>
      <w:rFonts w:eastAsia="黑体"/>
    </w:rPr>
  </w:style>
  <w:style w:type="paragraph" w:customStyle="1" w:styleId="16">
    <w:name w:val="条"/>
    <w:basedOn w:val="1"/>
    <w:qFormat/>
    <w:uiPriority w:val="0"/>
    <w:pPr>
      <w:numPr>
        <w:ilvl w:val="0"/>
        <w:numId w:val="1"/>
      </w:numPr>
      <w:tabs>
        <w:tab w:val="left" w:pos="1560"/>
        <w:tab w:val="left" w:pos="2268"/>
        <w:tab w:val="clear" w:pos="1418"/>
      </w:tabs>
      <w:jc w:val="left"/>
    </w:pPr>
    <w:rPr>
      <w:kern w:val="2"/>
      <w:szCs w:val="22"/>
    </w:rPr>
  </w:style>
  <w:style w:type="paragraph" w:customStyle="1" w:styleId="17">
    <w:name w:val="节"/>
    <w:basedOn w:val="1"/>
    <w:next w:val="16"/>
    <w:qFormat/>
    <w:uiPriority w:val="0"/>
    <w:pPr>
      <w:spacing w:before="156" w:beforeLines="50"/>
      <w:jc w:val="center"/>
      <w:outlineLvl w:val="1"/>
    </w:pPr>
    <w:rPr>
      <w:rFonts w:eastAsia="方正楷体_GBK"/>
    </w:rPr>
  </w:style>
  <w:style w:type="paragraph" w:customStyle="1" w:styleId="18">
    <w:name w:val="内容"/>
    <w:basedOn w:val="1"/>
    <w:qFormat/>
    <w:uiPriority w:val="0"/>
    <w:pPr>
      <w:tabs>
        <w:tab w:val="left" w:pos="0"/>
        <w:tab w:val="left" w:pos="1429"/>
        <w:tab w:val="left" w:pos="2268"/>
      </w:tabs>
      <w:ind w:firstLine="200" w:firstLineChars="200"/>
      <w:jc w:val="left"/>
    </w:pPr>
    <w:rPr>
      <w:szCs w:val="32"/>
      <w:lang w:val="zh-CN"/>
    </w:rPr>
  </w:style>
  <w:style w:type="paragraph" w:customStyle="1" w:styleId="19">
    <w:name w:val="正文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6847</Words>
  <Characters>6870</Characters>
  <Lines>48</Lines>
  <Paragraphs>13</Paragraphs>
  <TotalTime>184</TotalTime>
  <ScaleCrop>false</ScaleCrop>
  <LinksUpToDate>false</LinksUpToDate>
  <CharactersWithSpaces>6933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2023-07-11T01:06:00Z</dcterms:created>
  <dc:creator>test</dc:creator>
  <cp:lastModifiedBy>DELL</cp:lastModifiedBy>
  <cp:lastPrinted>2023-11-03T00:48:00Z</cp:lastPrinted>
  <dcterms:modified xsi:type="dcterms:W3CDTF">2023-11-14T06:30:31Z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65AEA144CE7E43FCB08BB80545FC07CC</vt:lpwstr>
  </property>
</Properties>
</file>