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4213">
      <w:pPr>
        <w:pStyle w:val="7"/>
        <w:ind w:right="640"/>
        <w:jc w:val="left"/>
        <w:rPr>
          <w:rFonts w:hint="eastAsia" w:ascii="黑体" w:hAnsi="黑体" w:eastAsia="黑体"/>
          <w:sz w:val="32"/>
          <w:szCs w:val="32"/>
        </w:rPr>
      </w:pPr>
      <w:r>
        <w:rPr>
          <w:rFonts w:hint="eastAsia" w:ascii="黑体" w:hAnsi="黑体" w:eastAsia="黑体"/>
          <w:sz w:val="32"/>
          <w:szCs w:val="32"/>
        </w:rPr>
        <w:t>附件2</w:t>
      </w:r>
    </w:p>
    <w:p w14:paraId="7DF80099">
      <w:pPr>
        <w:spacing w:after="120" w:afterLines="50"/>
        <w:ind w:right="641"/>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核查报告专家评分方法</w:t>
      </w:r>
    </w:p>
    <w:tbl>
      <w:tblPr>
        <w:tblStyle w:val="5"/>
        <w:tblW w:w="14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08"/>
        <w:gridCol w:w="1512"/>
        <w:gridCol w:w="8888"/>
        <w:gridCol w:w="945"/>
        <w:gridCol w:w="680"/>
      </w:tblGrid>
      <w:tr w14:paraId="2AD2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60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A939B1">
            <w:pPr>
              <w:spacing w:before="120" w:beforeLines="50"/>
              <w:jc w:val="center"/>
              <w:rPr>
                <w:rFonts w:ascii="仿宋_GB2312" w:hAnsi="宋体" w:eastAsia="仿宋_GB2312" w:cs="宋体"/>
                <w:b/>
                <w:bCs/>
                <w:kern w:val="0"/>
                <w:sz w:val="24"/>
              </w:rPr>
            </w:pPr>
            <w:r>
              <w:rPr>
                <w:rFonts w:hint="eastAsia" w:ascii="仿宋_GB2312" w:hAnsi="宋体" w:eastAsia="仿宋_GB2312" w:cs="宋体"/>
                <w:b/>
                <w:bCs/>
                <w:kern w:val="0"/>
                <w:sz w:val="24"/>
              </w:rPr>
              <w:t>否决项</w:t>
            </w:r>
          </w:p>
        </w:tc>
        <w:tc>
          <w:tcPr>
            <w:tcW w:w="1040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1F6477">
            <w:pPr>
              <w:adjustRightInd w:val="0"/>
              <w:snapToGrid w:val="0"/>
              <w:spacing w:line="360" w:lineRule="exact"/>
              <w:ind w:firstLine="480" w:firstLineChars="200"/>
              <w:rPr>
                <w:rFonts w:ascii="仿宋_GB2312" w:hAnsi="楷体" w:eastAsia="仿宋_GB2312" w:cs="宋体"/>
                <w:bCs/>
                <w:kern w:val="0"/>
                <w:sz w:val="24"/>
              </w:rPr>
            </w:pPr>
            <w:r>
              <w:rPr>
                <w:rFonts w:hint="eastAsia" w:ascii="仿宋_GB2312" w:hAnsi="楷体" w:eastAsia="仿宋_GB2312" w:cs="宋体"/>
                <w:bCs/>
                <w:kern w:val="0"/>
                <w:sz w:val="24"/>
              </w:rPr>
              <w:t>核查组至少有2名核查员，并指定一名组长，其中组长至少具有3年以上本市碳核查工作经验，技术复核人独立于核查组且至少有3年以上本市碳核查工作经验。不满足上述要求的报告，评为不合格，并终止评分。</w:t>
            </w:r>
          </w:p>
          <w:p w14:paraId="45266609">
            <w:pPr>
              <w:adjustRightInd w:val="0"/>
              <w:snapToGrid w:val="0"/>
              <w:spacing w:line="360" w:lineRule="exact"/>
              <w:ind w:firstLine="480" w:firstLineChars="200"/>
              <w:rPr>
                <w:rFonts w:ascii="仿宋_GB2312" w:hAnsi="楷体" w:eastAsia="仿宋_GB2312" w:cs="宋体"/>
                <w:bCs/>
                <w:kern w:val="0"/>
                <w:sz w:val="24"/>
              </w:rPr>
            </w:pPr>
            <w:r>
              <w:rPr>
                <w:rFonts w:hint="eastAsia" w:ascii="仿宋_GB2312" w:hAnsi="楷体" w:eastAsia="仿宋_GB2312" w:cs="宋体"/>
                <w:bCs/>
                <w:kern w:val="0"/>
                <w:sz w:val="24"/>
              </w:rPr>
              <w:t>（注：此处不再强调核查员必须经过本市培训和备案的行业领域，但至少有2名成员具有3年以上核查工作经验）</w:t>
            </w:r>
          </w:p>
        </w:tc>
        <w:tc>
          <w:tcPr>
            <w:tcW w:w="162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E114B">
            <w:pPr>
              <w:spacing w:before="120" w:beforeLines="50"/>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合格/</w:t>
            </w:r>
          </w:p>
          <w:p w14:paraId="2A526805">
            <w:pPr>
              <w:spacing w:before="120" w:beforeLines="50"/>
              <w:jc w:val="center"/>
              <w:rPr>
                <w:rFonts w:ascii="仿宋_GB2312" w:hAnsi="宋体" w:eastAsia="仿宋_GB2312" w:cs="宋体"/>
                <w:b/>
                <w:bCs/>
                <w:kern w:val="0"/>
                <w:sz w:val="24"/>
              </w:rPr>
            </w:pPr>
            <w:r>
              <w:rPr>
                <w:rFonts w:hint="eastAsia" w:ascii="仿宋_GB2312" w:hAnsi="宋体" w:eastAsia="仿宋_GB2312" w:cs="宋体"/>
                <w:b/>
                <w:bCs/>
                <w:kern w:val="0"/>
                <w:sz w:val="24"/>
              </w:rPr>
              <w:t>不合格</w:t>
            </w:r>
          </w:p>
        </w:tc>
      </w:tr>
      <w:tr w14:paraId="6132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4625"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5603BB">
            <w:pPr>
              <w:spacing w:before="120" w:beforeLines="50"/>
              <w:jc w:val="center"/>
              <w:rPr>
                <w:rFonts w:ascii="仿宋_GB2312" w:hAnsi="宋体" w:eastAsia="仿宋_GB2312" w:cs="宋体"/>
                <w:b/>
                <w:bCs/>
                <w:kern w:val="0"/>
                <w:sz w:val="24"/>
              </w:rPr>
            </w:pPr>
          </w:p>
        </w:tc>
      </w:tr>
      <w:tr w14:paraId="49E0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9D54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B0F47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6F5B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3C7F9">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46C85">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725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DA0F4D">
            <w:pPr>
              <w:spacing w:before="120" w:beforeLines="50"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总体</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0615BF">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BD7C2A2">
            <w:pPr>
              <w:spacing w:line="360" w:lineRule="exact"/>
              <w:jc w:val="left"/>
              <w:rPr>
                <w:rFonts w:ascii="仿宋_GB2312" w:hAnsi="楷体" w:eastAsia="仿宋_GB2312" w:cs="宋体"/>
                <w:bCs/>
                <w:kern w:val="0"/>
                <w:sz w:val="24"/>
              </w:rPr>
            </w:pPr>
            <w:r>
              <w:rPr>
                <w:rFonts w:hint="eastAsia" w:ascii="仿宋_GB2312" w:hAnsi="楷体" w:eastAsia="仿宋_GB2312" w:cs="宋体"/>
                <w:bCs/>
                <w:kern w:val="0"/>
                <w:sz w:val="24"/>
              </w:rPr>
              <w:t>报告结构完整、结论明确、表达清晰。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B1F8284">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836657B">
            <w:pPr>
              <w:spacing w:before="120" w:beforeLines="50"/>
              <w:jc w:val="center"/>
              <w:rPr>
                <w:rFonts w:ascii="仿宋_GB2312" w:hAnsi="宋体" w:eastAsia="仿宋_GB2312" w:cs="宋体"/>
                <w:b/>
                <w:bCs/>
                <w:kern w:val="0"/>
                <w:sz w:val="24"/>
              </w:rPr>
            </w:pPr>
          </w:p>
        </w:tc>
      </w:tr>
      <w:tr w14:paraId="1E2B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25" w:type="dxa"/>
            <w:gridSpan w:val="6"/>
            <w:tcBorders>
              <w:top w:val="single" w:color="auto" w:sz="4" w:space="0"/>
              <w:left w:val="single" w:color="auto" w:sz="4" w:space="0"/>
              <w:bottom w:val="single" w:color="auto" w:sz="4" w:space="0"/>
              <w:right w:val="single" w:color="auto" w:sz="4" w:space="0"/>
            </w:tcBorders>
            <w:noWrap w:val="0"/>
            <w:vAlign w:val="center"/>
          </w:tcPr>
          <w:p w14:paraId="2DDB2B84">
            <w:pPr>
              <w:spacing w:before="120" w:beforeLines="50"/>
              <w:jc w:val="center"/>
              <w:rPr>
                <w:rFonts w:ascii="仿宋_GB2312" w:hAnsi="宋体" w:eastAsia="仿宋_GB2312" w:cs="宋体"/>
                <w:b/>
                <w:kern w:val="0"/>
                <w:sz w:val="24"/>
              </w:rPr>
            </w:pPr>
          </w:p>
        </w:tc>
      </w:tr>
      <w:tr w14:paraId="0A91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C4D77">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1)封面</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A3F46">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25D6795">
            <w:pPr>
              <w:spacing w:line="360" w:lineRule="exact"/>
              <w:rPr>
                <w:rFonts w:ascii="仿宋_GB2312" w:hAnsi="楷体" w:eastAsia="仿宋_GB2312" w:cs="宋体"/>
                <w:kern w:val="0"/>
                <w:sz w:val="24"/>
              </w:rPr>
            </w:pPr>
            <w:r>
              <w:rPr>
                <w:rFonts w:hint="eastAsia" w:ascii="仿宋_GB2312" w:hAnsi="楷体" w:eastAsia="仿宋_GB2312" w:cs="宋体"/>
                <w:kern w:val="0"/>
                <w:sz w:val="24"/>
              </w:rPr>
              <w:t>封面内容符合要求，档案编号及排放单位名称清楚，核查机构已经盖章。</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A04EA11">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281920F">
            <w:pPr>
              <w:spacing w:before="120" w:beforeLines="50"/>
              <w:jc w:val="center"/>
              <w:rPr>
                <w:rFonts w:ascii="仿宋_GB2312" w:hAnsi="宋体" w:eastAsia="仿宋_GB2312" w:cs="宋体"/>
                <w:b/>
                <w:bCs/>
                <w:kern w:val="0"/>
                <w:sz w:val="24"/>
              </w:rPr>
            </w:pPr>
          </w:p>
        </w:tc>
      </w:tr>
      <w:tr w14:paraId="25FF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54C363">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2)扉页</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F3C079">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2D8C7246">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扉页内容完整，报告边界清晰，核查结论明确，核查组长、技术复核人及批准人均签字。符合2020年的调整内容，增加了核算和报告边界，并需详细表述报告期内的核算边界，增加既有设施退出的基准年排放量及排放强度，核查结论需要详细表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9D5C9F">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413C751">
            <w:pPr>
              <w:spacing w:before="120" w:beforeLines="50"/>
              <w:jc w:val="center"/>
              <w:rPr>
                <w:rFonts w:ascii="仿宋_GB2312" w:hAnsi="宋体" w:eastAsia="仿宋_GB2312" w:cs="宋体"/>
                <w:b/>
                <w:bCs/>
                <w:kern w:val="0"/>
                <w:sz w:val="24"/>
              </w:rPr>
            </w:pPr>
          </w:p>
        </w:tc>
      </w:tr>
      <w:tr w14:paraId="40A5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6C64FE">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3)目录</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A20387">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4AC2908">
            <w:pPr>
              <w:spacing w:line="360" w:lineRule="exact"/>
              <w:rPr>
                <w:rFonts w:ascii="仿宋_GB2312" w:hAnsi="楷体" w:eastAsia="仿宋_GB2312" w:cs="宋体"/>
                <w:kern w:val="0"/>
                <w:sz w:val="24"/>
              </w:rPr>
            </w:pPr>
            <w:r>
              <w:rPr>
                <w:rFonts w:hint="eastAsia" w:ascii="仿宋_GB2312" w:hAnsi="楷体" w:eastAsia="仿宋_GB2312" w:cs="宋体"/>
                <w:kern w:val="0"/>
                <w:sz w:val="24"/>
              </w:rPr>
              <w:t>目录清晰，能准确地指引正文内容。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E782BC8">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51E2CFB">
            <w:pPr>
              <w:spacing w:before="120" w:beforeLines="50"/>
              <w:jc w:val="center"/>
              <w:outlineLvl w:val="0"/>
              <w:rPr>
                <w:rFonts w:ascii="仿宋_GB2312" w:hAnsi="宋体" w:eastAsia="仿宋_GB2312" w:cs="宋体"/>
                <w:b/>
                <w:bCs/>
                <w:kern w:val="0"/>
                <w:sz w:val="24"/>
              </w:rPr>
            </w:pPr>
          </w:p>
        </w:tc>
      </w:tr>
      <w:tr w14:paraId="31A4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4625" w:type="dxa"/>
            <w:gridSpan w:val="6"/>
            <w:tcBorders>
              <w:top w:val="single" w:color="auto" w:sz="4" w:space="0"/>
              <w:left w:val="single" w:color="auto" w:sz="4" w:space="0"/>
              <w:bottom w:val="single" w:color="auto" w:sz="4" w:space="0"/>
              <w:right w:val="single" w:color="auto" w:sz="4" w:space="0"/>
            </w:tcBorders>
            <w:noWrap w:val="0"/>
            <w:vAlign w:val="center"/>
          </w:tcPr>
          <w:p w14:paraId="1BF7DF57">
            <w:pPr>
              <w:spacing w:before="120" w:beforeLines="50"/>
              <w:jc w:val="center"/>
              <w:outlineLvl w:val="0"/>
              <w:rPr>
                <w:rFonts w:ascii="仿宋_GB2312" w:hAnsi="Calibri" w:eastAsia="仿宋_GB2312" w:cs="宋体"/>
                <w:b/>
                <w:kern w:val="0"/>
                <w:sz w:val="24"/>
              </w:rPr>
            </w:pPr>
          </w:p>
        </w:tc>
      </w:tr>
      <w:tr w14:paraId="3E60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D9F1F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8A5C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2CDA2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70B009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90FC45B">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5294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4625" w:type="dxa"/>
            <w:gridSpan w:val="6"/>
            <w:tcBorders>
              <w:top w:val="single" w:color="auto" w:sz="4" w:space="0"/>
              <w:left w:val="single" w:color="auto" w:sz="4" w:space="0"/>
              <w:bottom w:val="single" w:color="auto" w:sz="4" w:space="0"/>
              <w:right w:val="single" w:color="auto" w:sz="4" w:space="0"/>
            </w:tcBorders>
            <w:noWrap w:val="0"/>
            <w:vAlign w:val="center"/>
          </w:tcPr>
          <w:p w14:paraId="3DFFEF13">
            <w:pPr>
              <w:spacing w:before="120" w:beforeLines="50"/>
              <w:ind w:firstLine="477" w:firstLineChars="198"/>
              <w:outlineLvl w:val="0"/>
              <w:rPr>
                <w:rFonts w:ascii="仿宋_GB2312" w:hAnsi="宋体" w:eastAsia="仿宋_GB2312" w:cs="宋体"/>
                <w:b/>
                <w:kern w:val="0"/>
                <w:sz w:val="24"/>
              </w:rPr>
            </w:pPr>
            <w:r>
              <w:rPr>
                <w:rFonts w:hint="eastAsia" w:ascii="仿宋_GB2312" w:hAnsi="宋体" w:eastAsia="仿宋_GB2312" w:cs="宋体"/>
                <w:b/>
                <w:kern w:val="0"/>
                <w:sz w:val="24"/>
              </w:rPr>
              <w:t>4)正文</w:t>
            </w:r>
          </w:p>
        </w:tc>
      </w:tr>
      <w:tr w14:paraId="5015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8D580D">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1.概述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621A26">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022B1F0">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说明核查目的：内容应包括落实</w:t>
            </w:r>
            <w:r>
              <w:rPr>
                <w:rFonts w:hint="eastAsia" w:ascii="仿宋_GB2312" w:hAnsi="楷体" w:eastAsia="仿宋_GB2312"/>
                <w:bCs/>
                <w:sz w:val="24"/>
              </w:rPr>
              <w:t>《北京市人民代表大会常务委员会关于北京市在严格控制碳排放总量前提下开展碳排放权交易试点工作的决定》、</w:t>
            </w:r>
            <w:r>
              <w:rPr>
                <w:rFonts w:hint="eastAsia" w:ascii="仿宋_GB2312" w:hAnsi="楷体" w:eastAsia="仿宋_GB2312" w:cs="宋体"/>
                <w:kern w:val="0"/>
                <w:sz w:val="24"/>
              </w:rPr>
              <w:t>《国家发展改革委办公厅关于开展碳排放权交易试点工作的通知》及“北京市碳排放权交易试点工作”的总体安排、为有效实施碳排放量确定、配额核算、发放及履约提供可靠的数据质量保证服务等内容。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F965A7">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9C1A052">
            <w:pPr>
              <w:spacing w:before="120" w:beforeLines="50"/>
              <w:jc w:val="center"/>
              <w:rPr>
                <w:rFonts w:ascii="仿宋_GB2312" w:hAnsi="宋体" w:eastAsia="仿宋_GB2312" w:cs="宋体"/>
                <w:b/>
                <w:bCs/>
                <w:kern w:val="0"/>
                <w:sz w:val="24"/>
              </w:rPr>
            </w:pPr>
          </w:p>
        </w:tc>
      </w:tr>
      <w:tr w14:paraId="4F9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362A496E">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0EC42FE">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76BD1FA">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范围：北京市二氧化碳排放报告制度遵循“谁排放谁报告”的原则，因此核查范围应包括列入北京市碳排放权交易试点工作的二氧化碳重点排放单位和自愿参与交易的一般二氧化碳报告单位的所有在北京市辖区内的固定设施导致的二氧化碳直接排放或二氧化碳间接排放。</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CCD4EA8">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47EFD58">
            <w:pPr>
              <w:spacing w:before="120" w:beforeLines="50"/>
              <w:jc w:val="center"/>
              <w:rPr>
                <w:rFonts w:ascii="仿宋_GB2312" w:hAnsi="宋体" w:eastAsia="仿宋_GB2312" w:cs="宋体"/>
                <w:b/>
                <w:bCs/>
                <w:kern w:val="0"/>
                <w:sz w:val="24"/>
              </w:rPr>
            </w:pPr>
          </w:p>
        </w:tc>
      </w:tr>
      <w:tr w14:paraId="4118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756A58C6">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3834B4D">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37D1248">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说明核查准则：核查机构应在核查报告中列出《核算指南》中相应的行业指南，以及活动水平数据、排放因子以及计量设备所适用的国家及北京市地方法规及标准。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3B051E">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C2EC409">
            <w:pPr>
              <w:spacing w:before="120" w:beforeLines="50"/>
              <w:jc w:val="center"/>
              <w:rPr>
                <w:rFonts w:ascii="仿宋_GB2312" w:hAnsi="宋体" w:eastAsia="仿宋_GB2312" w:cs="宋体"/>
                <w:b/>
                <w:bCs/>
                <w:kern w:val="0"/>
                <w:sz w:val="24"/>
              </w:rPr>
            </w:pPr>
          </w:p>
        </w:tc>
      </w:tr>
      <w:tr w14:paraId="2916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9D8B3D">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2.核查过程和方法</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801F9E">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76CD93D">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sz w:val="24"/>
              </w:rPr>
              <w:t>采用《核查指南》设定的统一格式</w:t>
            </w:r>
            <w:r>
              <w:rPr>
                <w:rFonts w:hint="eastAsia" w:ascii="仿宋_GB2312" w:hAnsi="楷体" w:eastAsia="仿宋_GB2312" w:cs="宋体"/>
                <w:kern w:val="0"/>
                <w:sz w:val="24"/>
              </w:rPr>
              <w:t>描述核查组成员、技术复核成员的姓名。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6D9E876">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1A94CC1">
            <w:pPr>
              <w:spacing w:before="120" w:beforeLines="50"/>
              <w:jc w:val="center"/>
              <w:rPr>
                <w:rFonts w:ascii="仿宋_GB2312" w:hAnsi="宋体" w:eastAsia="仿宋_GB2312" w:cs="宋体"/>
                <w:b/>
                <w:bCs/>
                <w:kern w:val="0"/>
                <w:sz w:val="24"/>
              </w:rPr>
            </w:pPr>
          </w:p>
        </w:tc>
      </w:tr>
      <w:tr w14:paraId="1D25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2D16045E">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83D8626">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C988B47">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描述文件评审（初始报告和终版报告）的时间、过程及主要内容。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870128">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15AB4DF">
            <w:pPr>
              <w:spacing w:before="120" w:beforeLines="50"/>
              <w:jc w:val="center"/>
              <w:rPr>
                <w:rFonts w:ascii="仿宋_GB2312" w:hAnsi="宋体" w:eastAsia="仿宋_GB2312" w:cs="宋体"/>
                <w:b/>
                <w:bCs/>
                <w:kern w:val="0"/>
                <w:sz w:val="24"/>
              </w:rPr>
            </w:pPr>
          </w:p>
        </w:tc>
      </w:tr>
      <w:tr w14:paraId="2DEF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7E68CE45">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2AA5CBB">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D92187A">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文件评审应识别出现场访问关注的重点。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77DA8A0">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1F9269">
            <w:pPr>
              <w:spacing w:before="120" w:beforeLines="50"/>
              <w:jc w:val="center"/>
              <w:rPr>
                <w:rFonts w:ascii="仿宋_GB2312" w:hAnsi="宋体" w:eastAsia="仿宋_GB2312" w:cs="宋体"/>
                <w:b/>
                <w:bCs/>
                <w:kern w:val="0"/>
                <w:sz w:val="24"/>
              </w:rPr>
            </w:pPr>
          </w:p>
        </w:tc>
      </w:tr>
      <w:tr w14:paraId="6314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5E55863A">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85F68DD">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7470F16">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描述现场访问实施的时间。（由于疫情特殊情况，2020年此处不作为必要条件，核查机构可采取多种形式予以确认）</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49B0561">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7252AC4">
            <w:pPr>
              <w:spacing w:before="120" w:beforeLines="50"/>
              <w:jc w:val="center"/>
              <w:rPr>
                <w:rFonts w:ascii="仿宋_GB2312" w:hAnsi="宋体" w:eastAsia="仿宋_GB2312" w:cs="宋体"/>
                <w:b/>
                <w:bCs/>
                <w:kern w:val="0"/>
                <w:sz w:val="24"/>
              </w:rPr>
            </w:pPr>
          </w:p>
        </w:tc>
      </w:tr>
      <w:tr w14:paraId="5713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2DCB2C53">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06EC765">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E37C8B9">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现场访谈的内容清晰并能反映重点排放单位的实际情况。（由于疫情特殊情况，2020年此处不作为必要条件，核查机构可采取多种形式予以确认）</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0B68F55">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9587998">
            <w:pPr>
              <w:spacing w:before="120" w:beforeLines="50"/>
              <w:jc w:val="center"/>
              <w:rPr>
                <w:rFonts w:ascii="仿宋_GB2312" w:hAnsi="宋体" w:eastAsia="仿宋_GB2312" w:cs="宋体"/>
                <w:b/>
                <w:bCs/>
                <w:kern w:val="0"/>
                <w:sz w:val="24"/>
              </w:rPr>
            </w:pPr>
          </w:p>
        </w:tc>
      </w:tr>
      <w:tr w14:paraId="2D43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5882F2C6">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16E1F00">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420F10D3">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描述核查报告编写及内部技术复核的过程、以及</w:t>
            </w:r>
            <w:r>
              <w:rPr>
                <w:rFonts w:hint="eastAsia" w:ascii="仿宋_GB2312" w:hAnsi="楷体" w:eastAsia="仿宋_GB2312"/>
                <w:kern w:val="0"/>
                <w:sz w:val="24"/>
              </w:rPr>
              <w:t>不符合开具和关闭日期</w:t>
            </w:r>
            <w:r>
              <w:rPr>
                <w:rFonts w:hint="eastAsia" w:ascii="仿宋_GB2312" w:hAnsi="楷体" w:eastAsia="仿宋_GB2312" w:cs="宋体"/>
                <w:kern w:val="0"/>
                <w:sz w:val="24"/>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36EB195">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D07189">
            <w:pPr>
              <w:spacing w:before="120" w:beforeLines="50"/>
              <w:jc w:val="center"/>
              <w:rPr>
                <w:rFonts w:ascii="仿宋_GB2312" w:hAnsi="宋体" w:eastAsia="仿宋_GB2312" w:cs="宋体"/>
                <w:b/>
                <w:bCs/>
                <w:kern w:val="0"/>
                <w:sz w:val="24"/>
              </w:rPr>
            </w:pPr>
          </w:p>
        </w:tc>
      </w:tr>
      <w:tr w14:paraId="2DFC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2E977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565E5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0B3AD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B358CD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F621AF">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5058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E0EF05">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3.核查发现</w:t>
            </w:r>
          </w:p>
          <w:p w14:paraId="47AE3812">
            <w:pPr>
              <w:spacing w:before="120" w:beforeLines="50"/>
              <w:jc w:val="center"/>
              <w:rPr>
                <w:rFonts w:ascii="仿宋_GB2312" w:hAnsi="宋体" w:eastAsia="仿宋_GB2312" w:cs="宋体"/>
                <w:b/>
                <w:kern w:val="0"/>
                <w:sz w:val="24"/>
              </w:rPr>
            </w:pPr>
          </w:p>
          <w:p w14:paraId="575AA587">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3.1 二氧化碳重点排放单位的基本信息</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C6BDE0">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760CC35">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描述对二氧化碳重点排放单位基本信息核查的方法和过程。</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16411C9">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EA6E072">
            <w:pPr>
              <w:spacing w:before="120" w:beforeLines="50"/>
              <w:jc w:val="center"/>
              <w:rPr>
                <w:rFonts w:ascii="仿宋_GB2312" w:hAnsi="宋体" w:eastAsia="仿宋_GB2312" w:cs="宋体"/>
                <w:b/>
                <w:bCs/>
                <w:kern w:val="0"/>
                <w:sz w:val="24"/>
              </w:rPr>
            </w:pPr>
          </w:p>
        </w:tc>
      </w:tr>
      <w:tr w14:paraId="08EE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64866B81">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3B6FE13">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73C7EEFA">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描述二氧化碳重点排放单位基本情况(二氧化碳重点排放单位名称、所属行业、地理位置、成立时间、所有制性质、规模、隶属关系，以及组织机构等)。</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A759B23">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7694002">
            <w:pPr>
              <w:spacing w:before="120" w:beforeLines="50"/>
              <w:jc w:val="center"/>
              <w:rPr>
                <w:rFonts w:ascii="仿宋_GB2312" w:hAnsi="宋体" w:eastAsia="仿宋_GB2312" w:cs="宋体"/>
                <w:b/>
                <w:bCs/>
                <w:kern w:val="0"/>
                <w:sz w:val="24"/>
              </w:rPr>
            </w:pPr>
          </w:p>
        </w:tc>
      </w:tr>
      <w:tr w14:paraId="475E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2617D28D">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2040488">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F952E89">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描述二氧化碳重点排放单位主要的产品或服务。若为工业企业，基本信息应包括生产的产品及生产工艺等相关内容；若为第三产业，基本信息应包括服务范围及流程。</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42CB395">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B88390">
            <w:pPr>
              <w:spacing w:before="120" w:beforeLines="50"/>
              <w:jc w:val="center"/>
              <w:rPr>
                <w:rFonts w:ascii="仿宋_GB2312" w:hAnsi="宋体" w:eastAsia="仿宋_GB2312" w:cs="宋体"/>
                <w:b/>
                <w:bCs/>
                <w:kern w:val="0"/>
                <w:sz w:val="24"/>
              </w:rPr>
            </w:pPr>
          </w:p>
        </w:tc>
      </w:tr>
      <w:tr w14:paraId="2E1C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5C567A0F">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4078EAA">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6B006A3">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描述二氧化碳重点排放单位能源管理现状，包括使用能源的品种，能源计量统计及能源审计情况、年度能源统计报告、废弃物处理现状、</w:t>
            </w:r>
            <w:r>
              <w:rPr>
                <w:rFonts w:hint="eastAsia" w:ascii="仿宋_GB2312" w:hAnsi="楷体" w:eastAsia="仿宋_GB2312"/>
                <w:kern w:val="0"/>
                <w:sz w:val="24"/>
              </w:rPr>
              <w:t>新增排放设施和替代情况、履约情况、“不符合项及</w:t>
            </w:r>
            <w:r>
              <w:rPr>
                <w:rFonts w:hint="eastAsia" w:ascii="仿宋_GB2312" w:hAnsi="楷体" w:eastAsia="仿宋_GB2312" w:cs="宋体"/>
                <w:sz w:val="24"/>
              </w:rPr>
              <w:t>纠正”情况等</w:t>
            </w:r>
            <w:r>
              <w:rPr>
                <w:rFonts w:hint="eastAsia" w:ascii="仿宋_GB2312" w:hAnsi="楷体" w:eastAsia="仿宋_GB2312" w:cs="宋体"/>
                <w:kern w:val="0"/>
                <w:sz w:val="24"/>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2B779B">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332F518">
            <w:pPr>
              <w:spacing w:before="120" w:beforeLines="50"/>
              <w:jc w:val="center"/>
              <w:rPr>
                <w:rFonts w:ascii="仿宋_GB2312" w:hAnsi="宋体" w:eastAsia="仿宋_GB2312" w:cs="宋体"/>
                <w:b/>
                <w:bCs/>
                <w:kern w:val="0"/>
                <w:sz w:val="24"/>
              </w:rPr>
            </w:pPr>
          </w:p>
        </w:tc>
      </w:tr>
      <w:tr w14:paraId="72C8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05F4F98A">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7066D87">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4876C5EC">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描述本部分的核查结论。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13B3DE5">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5D8C5BC">
            <w:pPr>
              <w:spacing w:before="120" w:beforeLines="50"/>
              <w:jc w:val="center"/>
              <w:rPr>
                <w:rFonts w:ascii="仿宋_GB2312" w:hAnsi="宋体" w:eastAsia="仿宋_GB2312" w:cs="宋体"/>
                <w:b/>
                <w:bCs/>
                <w:kern w:val="0"/>
                <w:sz w:val="24"/>
              </w:rPr>
            </w:pPr>
          </w:p>
        </w:tc>
      </w:tr>
      <w:tr w14:paraId="616D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9A89AD">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3.2 二氧化碳重点排放单位的设施边界和排放源种类</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9DD6F">
            <w:pPr>
              <w:spacing w:before="120" w:beforeLines="50"/>
              <w:jc w:val="center"/>
              <w:rPr>
                <w:rFonts w:ascii="仿宋_GB2312" w:hAnsi="宋体" w:eastAsia="仿宋_GB2312" w:cs="宋体"/>
                <w:b/>
                <w:bCs/>
                <w:kern w:val="0"/>
                <w:sz w:val="24"/>
              </w:rPr>
            </w:pPr>
            <w:r>
              <w:rPr>
                <w:rFonts w:hint="eastAsia" w:ascii="仿宋_GB2312" w:hAnsi="宋体" w:eastAsia="仿宋_GB2312" w:cs="宋体"/>
                <w:b/>
                <w:kern w:val="0"/>
                <w:sz w:val="24"/>
              </w:rPr>
              <w:t>10</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491CC41F">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描述对设施边界及排放源识别核查的方法和过程。</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024C80E">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960955">
            <w:pPr>
              <w:spacing w:before="120" w:beforeLines="50"/>
              <w:jc w:val="center"/>
              <w:rPr>
                <w:rFonts w:ascii="仿宋_GB2312" w:hAnsi="宋体" w:eastAsia="仿宋_GB2312" w:cs="宋体"/>
                <w:b/>
                <w:bCs/>
                <w:kern w:val="0"/>
                <w:sz w:val="24"/>
              </w:rPr>
            </w:pPr>
          </w:p>
        </w:tc>
      </w:tr>
      <w:tr w14:paraId="7FE2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304FF79A">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CAAECF0">
            <w:pPr>
              <w:widowControl/>
              <w:jc w:val="left"/>
              <w:rPr>
                <w:rFonts w:ascii="仿宋_GB2312" w:hAnsi="宋体" w:eastAsia="仿宋_GB2312" w:cs="宋体"/>
                <w:b/>
                <w:bCs/>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273FC25">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说明重点排放单位的场所边界、设施边界，及其变化情况。（重点关注边界变化情况的描述是否清楚）</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F0980A">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08E991D">
            <w:pPr>
              <w:spacing w:before="120" w:beforeLines="50"/>
              <w:jc w:val="center"/>
              <w:rPr>
                <w:rFonts w:ascii="仿宋_GB2312" w:hAnsi="宋体" w:eastAsia="仿宋_GB2312" w:cs="宋体"/>
                <w:b/>
                <w:bCs/>
                <w:kern w:val="0"/>
                <w:sz w:val="24"/>
              </w:rPr>
            </w:pPr>
          </w:p>
        </w:tc>
      </w:tr>
      <w:tr w14:paraId="7A3F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06AF5060">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724BD1A">
            <w:pPr>
              <w:widowControl/>
              <w:jc w:val="left"/>
              <w:rPr>
                <w:rFonts w:ascii="仿宋_GB2312" w:hAnsi="宋体" w:eastAsia="仿宋_GB2312" w:cs="宋体"/>
                <w:b/>
                <w:bCs/>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6A65EC0">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说明排放报告中的每一个排放设施的名称、型号和物理位置是否与现场一致(设施较多的情况可以打包描述。交通运输业描述线路、公交车辆数、飞机类型、大圆距离、燃料类型等)。</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71D756">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1A7D2F6">
            <w:pPr>
              <w:spacing w:before="120" w:beforeLines="50"/>
              <w:jc w:val="center"/>
              <w:rPr>
                <w:rFonts w:ascii="仿宋_GB2312" w:hAnsi="宋体" w:eastAsia="仿宋_GB2312" w:cs="宋体"/>
                <w:b/>
                <w:bCs/>
                <w:kern w:val="0"/>
                <w:sz w:val="24"/>
              </w:rPr>
            </w:pPr>
          </w:p>
        </w:tc>
      </w:tr>
      <w:tr w14:paraId="38BB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5A65E5D5">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CC41512">
            <w:pPr>
              <w:widowControl/>
              <w:jc w:val="left"/>
              <w:rPr>
                <w:rFonts w:ascii="仿宋_GB2312" w:hAnsi="宋体" w:eastAsia="仿宋_GB2312" w:cs="宋体"/>
                <w:b/>
                <w:bCs/>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9512AB0">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说明核查机构是否采用了抽样的方式实施核查。如果采用，应在核查报告中详细说明抽样方案与数量等。具体评分方法如下：</w:t>
            </w:r>
          </w:p>
          <w:p w14:paraId="2BBCE24F">
            <w:pPr>
              <w:widowControl/>
              <w:numPr>
                <w:ilvl w:val="0"/>
                <w:numId w:val="1"/>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抽样数量满足要求且具有代表性，2分；</w:t>
            </w:r>
          </w:p>
          <w:p w14:paraId="3DB4C432">
            <w:pPr>
              <w:widowControl/>
              <w:numPr>
                <w:ilvl w:val="0"/>
                <w:numId w:val="1"/>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抽样数量满足要求但缺乏代表性，1分；</w:t>
            </w:r>
          </w:p>
          <w:p w14:paraId="04395BBD">
            <w:pPr>
              <w:widowControl/>
              <w:numPr>
                <w:ilvl w:val="0"/>
                <w:numId w:val="1"/>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抽样数量不满足要求，0分。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8285B23">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2333B6E">
            <w:pPr>
              <w:spacing w:before="120" w:beforeLines="50"/>
              <w:jc w:val="center"/>
              <w:rPr>
                <w:rFonts w:ascii="仿宋_GB2312" w:hAnsi="宋体" w:eastAsia="仿宋_GB2312" w:cs="宋体"/>
                <w:b/>
                <w:bCs/>
                <w:kern w:val="0"/>
                <w:sz w:val="24"/>
              </w:rPr>
            </w:pPr>
          </w:p>
        </w:tc>
      </w:tr>
      <w:tr w14:paraId="5D46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7A01A70D">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F43B097">
            <w:pPr>
              <w:widowControl/>
              <w:jc w:val="left"/>
              <w:rPr>
                <w:rFonts w:ascii="仿宋_GB2312" w:hAnsi="宋体" w:eastAsia="仿宋_GB2312" w:cs="宋体"/>
                <w:b/>
                <w:bCs/>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CAE7DA2">
            <w:pPr>
              <w:spacing w:line="360" w:lineRule="exact"/>
              <w:ind w:firstLine="480" w:firstLineChars="200"/>
              <w:rPr>
                <w:rFonts w:ascii="仿宋_GB2312" w:hAnsi="楷体" w:eastAsia="仿宋_GB2312" w:cs="宋体"/>
                <w:kern w:val="0"/>
                <w:sz w:val="24"/>
              </w:rPr>
            </w:pPr>
            <w:r>
              <w:rPr>
                <w:rFonts w:hint="eastAsia" w:ascii="仿宋_GB2312" w:hAnsi="楷体" w:eastAsia="仿宋_GB2312"/>
                <w:kern w:val="0"/>
                <w:sz w:val="24"/>
              </w:rPr>
              <w:t>简要描述是否存在“不符合</w:t>
            </w:r>
            <w:r>
              <w:rPr>
                <w:rFonts w:hint="eastAsia" w:ascii="仿宋_GB2312" w:hAnsi="楷体" w:eastAsia="仿宋_GB2312" w:cs="宋体"/>
                <w:sz w:val="24"/>
              </w:rPr>
              <w:t>”情况，若有，详细描述及纠正措施</w:t>
            </w:r>
            <w:r>
              <w:rPr>
                <w:rFonts w:hint="eastAsia" w:ascii="仿宋_GB2312" w:hAnsi="楷体" w:eastAsia="仿宋_GB2312" w:cs="宋体"/>
                <w:kern w:val="0"/>
                <w:sz w:val="24"/>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F6BEE7A">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4B40387">
            <w:pPr>
              <w:spacing w:before="120" w:beforeLines="50"/>
              <w:jc w:val="center"/>
              <w:rPr>
                <w:rFonts w:ascii="仿宋_GB2312" w:hAnsi="宋体" w:eastAsia="仿宋_GB2312" w:cs="宋体"/>
                <w:b/>
                <w:bCs/>
                <w:kern w:val="0"/>
                <w:sz w:val="24"/>
              </w:rPr>
            </w:pPr>
          </w:p>
        </w:tc>
      </w:tr>
      <w:tr w14:paraId="0ACB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2B8F491A">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92CE178">
            <w:pPr>
              <w:widowControl/>
              <w:jc w:val="left"/>
              <w:rPr>
                <w:rFonts w:ascii="仿宋_GB2312" w:hAnsi="宋体" w:eastAsia="仿宋_GB2312" w:cs="宋体"/>
                <w:b/>
                <w:bCs/>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20D6EBE5">
            <w:pPr>
              <w:spacing w:line="360" w:lineRule="exact"/>
              <w:rPr>
                <w:rFonts w:ascii="仿宋_GB2312" w:hAnsi="楷体" w:eastAsia="仿宋_GB2312" w:cs="宋体"/>
                <w:kern w:val="0"/>
                <w:sz w:val="24"/>
              </w:rPr>
            </w:pPr>
            <w:r>
              <w:rPr>
                <w:rFonts w:hint="eastAsia" w:ascii="仿宋_GB2312" w:hAnsi="楷体" w:eastAsia="仿宋_GB2312" w:cs="宋体"/>
                <w:kern w:val="0"/>
                <w:sz w:val="24"/>
              </w:rPr>
              <w:t xml:space="preserve">    描述核查组对本部分核查的核查结论。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D7C588D">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6CA2F7A">
            <w:pPr>
              <w:spacing w:before="120" w:beforeLines="50"/>
              <w:jc w:val="center"/>
              <w:rPr>
                <w:rFonts w:ascii="仿宋_GB2312" w:hAnsi="宋体" w:eastAsia="仿宋_GB2312" w:cs="宋体"/>
                <w:b/>
                <w:bCs/>
                <w:kern w:val="0"/>
                <w:sz w:val="24"/>
              </w:rPr>
            </w:pPr>
          </w:p>
        </w:tc>
      </w:tr>
      <w:tr w14:paraId="4227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C52ED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3CDA8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F0FE0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49DA0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F9FC608">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42E4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892" w:type="dxa"/>
            <w:vMerge w:val="restart"/>
            <w:tcBorders>
              <w:top w:val="single" w:color="auto" w:sz="4" w:space="0"/>
              <w:left w:val="single" w:color="auto" w:sz="4" w:space="0"/>
              <w:right w:val="single" w:color="auto" w:sz="4" w:space="0"/>
            </w:tcBorders>
            <w:shd w:val="clear" w:color="auto" w:fill="FFFFFF"/>
            <w:noWrap w:val="0"/>
            <w:vAlign w:val="center"/>
          </w:tcPr>
          <w:p w14:paraId="66FAA7B8">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3.3 核算方法、数据与《核算指南》的符合性</w:t>
            </w:r>
          </w:p>
        </w:tc>
        <w:tc>
          <w:tcPr>
            <w:tcW w:w="708" w:type="dxa"/>
            <w:vMerge w:val="restart"/>
            <w:tcBorders>
              <w:top w:val="single" w:color="auto" w:sz="4" w:space="0"/>
              <w:left w:val="single" w:color="auto" w:sz="4" w:space="0"/>
              <w:right w:val="single" w:color="auto" w:sz="4" w:space="0"/>
            </w:tcBorders>
            <w:shd w:val="clear" w:color="auto" w:fill="FFFFFF"/>
            <w:noWrap w:val="0"/>
            <w:vAlign w:val="center"/>
          </w:tcPr>
          <w:p w14:paraId="30AEA566">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33.5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293B6CF5">
            <w:pPr>
              <w:spacing w:line="360" w:lineRule="exact"/>
              <w:rPr>
                <w:rFonts w:ascii="仿宋_GB2312" w:hAnsi="楷体" w:eastAsia="仿宋_GB2312" w:cs="宋体"/>
                <w:kern w:val="0"/>
                <w:sz w:val="24"/>
              </w:rPr>
            </w:pPr>
            <w:r>
              <w:rPr>
                <w:rFonts w:hint="eastAsia" w:ascii="仿宋_GB2312" w:hAnsi="楷体" w:eastAsia="仿宋_GB2312" w:cs="宋体"/>
                <w:kern w:val="0"/>
                <w:sz w:val="24"/>
              </w:rPr>
              <w:t xml:space="preserve">    判断核算方法的选择是否符合《核算指南》的要求。</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B254581">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22F6CC3">
            <w:pPr>
              <w:spacing w:before="120" w:beforeLines="50"/>
              <w:jc w:val="center"/>
              <w:rPr>
                <w:rFonts w:ascii="仿宋_GB2312" w:hAnsi="宋体" w:eastAsia="仿宋_GB2312" w:cs="宋体"/>
                <w:b/>
                <w:bCs/>
                <w:kern w:val="0"/>
                <w:sz w:val="24"/>
              </w:rPr>
            </w:pPr>
          </w:p>
        </w:tc>
      </w:tr>
      <w:tr w14:paraId="5F3E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0" w:hRule="atLeast"/>
          <w:jc w:val="center"/>
        </w:trPr>
        <w:tc>
          <w:tcPr>
            <w:tcW w:w="1892" w:type="dxa"/>
            <w:vMerge w:val="continue"/>
            <w:tcBorders>
              <w:left w:val="single" w:color="auto" w:sz="4" w:space="0"/>
              <w:bottom w:val="single" w:color="auto" w:sz="4" w:space="0"/>
              <w:right w:val="single" w:color="auto" w:sz="4" w:space="0"/>
            </w:tcBorders>
            <w:noWrap w:val="0"/>
            <w:vAlign w:val="center"/>
          </w:tcPr>
          <w:p w14:paraId="2082788B">
            <w:pPr>
              <w:widowControl/>
              <w:jc w:val="left"/>
              <w:rPr>
                <w:rFonts w:ascii="仿宋_GB2312" w:hAnsi="宋体" w:eastAsia="仿宋_GB2312" w:cs="宋体"/>
                <w:b/>
                <w:kern w:val="0"/>
                <w:sz w:val="24"/>
              </w:rPr>
            </w:pPr>
          </w:p>
        </w:tc>
        <w:tc>
          <w:tcPr>
            <w:tcW w:w="708" w:type="dxa"/>
            <w:vMerge w:val="continue"/>
            <w:tcBorders>
              <w:left w:val="single" w:color="auto" w:sz="4" w:space="0"/>
              <w:bottom w:val="single" w:color="auto" w:sz="4" w:space="0"/>
              <w:right w:val="single" w:color="auto" w:sz="4" w:space="0"/>
            </w:tcBorders>
            <w:noWrap w:val="0"/>
            <w:vAlign w:val="center"/>
          </w:tcPr>
          <w:p w14:paraId="309D3F18">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74CBDE2">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清晰地描述每一个活动水平数据的核查发现,核查发现的内容包括：单位、数据来源、监测方法、监测频次、记录频次、数据缺失处理、交叉核对、确认的数值、核查结论。(每项2分)</w:t>
            </w:r>
          </w:p>
          <w:p w14:paraId="6A3E6457">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对于单位，应与实际使用保持一致；</w:t>
            </w:r>
          </w:p>
          <w:p w14:paraId="4AFA71E0">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对于数据来源，清晰地描述活动水平数据是从哪里获得的，如生产日志或测量结果或估算等</w:t>
            </w:r>
          </w:p>
          <w:p w14:paraId="00309DC6">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对于监测方法、频率及记录频次，描述要清楚</w:t>
            </w:r>
          </w:p>
          <w:p w14:paraId="6557E302">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对于数据缺失的处理，清晰地描述数据缺失的处理方法以及核查组的意见；</w:t>
            </w:r>
          </w:p>
          <w:p w14:paraId="2C072B06">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对于参数交叉核对，要清楚地描述核查过程中所使用的证据，如生产日志、抄表记录、能源统计报表等，对无法获得交叉核对证据的情况，应合理解释；</w:t>
            </w:r>
          </w:p>
          <w:p w14:paraId="44F1AA73">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对于活动水平数据的取值，应清晰地列出数据得出的过程，如月度数据累加的结果，并与核查填报中的数据保持一致；</w:t>
            </w:r>
          </w:p>
          <w:p w14:paraId="68F845EF">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对于核查结论，应明确描述其正确性；</w:t>
            </w:r>
          </w:p>
          <w:p w14:paraId="5BB94352">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kern w:val="0"/>
                <w:sz w:val="24"/>
              </w:rPr>
              <w:t>简要描述是否存在“不符合</w:t>
            </w:r>
            <w:r>
              <w:rPr>
                <w:rFonts w:hint="eastAsia" w:ascii="仿宋_GB2312" w:hAnsi="楷体" w:eastAsia="仿宋_GB2312" w:cs="宋体"/>
                <w:sz w:val="24"/>
              </w:rPr>
              <w:t>”情况。</w:t>
            </w:r>
          </w:p>
          <w:p w14:paraId="53DB697E">
            <w:pPr>
              <w:spacing w:line="360" w:lineRule="exact"/>
              <w:ind w:firstLine="360" w:firstLineChars="150"/>
              <w:rPr>
                <w:rFonts w:ascii="仿宋_GB2312" w:hAnsi="楷体" w:eastAsia="仿宋_GB2312" w:cs="宋体"/>
                <w:b/>
                <w:kern w:val="0"/>
                <w:sz w:val="24"/>
              </w:rPr>
            </w:pPr>
            <w:r>
              <w:rPr>
                <w:rFonts w:hint="eastAsia" w:ascii="仿宋_GB2312" w:hAnsi="楷体" w:eastAsia="仿宋_GB2312" w:cs="宋体"/>
                <w:kern w:val="0"/>
                <w:sz w:val="24"/>
              </w:rPr>
              <w:t>特别注意：1.对于火力发电厂燃料热值数据若有实测值，而选择用默认值的，扣5分；若核查报告声明燃料的热值没有实测值，则必须给出充足的理由，否则扣5分</w:t>
            </w:r>
            <w:r>
              <w:rPr>
                <w:rFonts w:hint="eastAsia" w:ascii="仿宋_GB2312" w:hAnsi="楷体" w:eastAsia="仿宋_GB2312" w:cs="宋体"/>
                <w:b/>
                <w:kern w:val="0"/>
                <w:sz w:val="24"/>
              </w:rPr>
              <w:t>。</w:t>
            </w:r>
            <w:r>
              <w:rPr>
                <w:rFonts w:hint="eastAsia" w:ascii="仿宋_GB2312" w:hAnsi="楷体" w:eastAsia="仿宋_GB2312" w:cs="宋体"/>
                <w:kern w:val="0"/>
                <w:sz w:val="24"/>
              </w:rPr>
              <w:t>2.对于供热企业供热量数据，给出明确的取值过程（实测计量/锅炉能效测试折算/锅炉效率默认值折算），无取值依据或计算过程的，扣5分。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AAEE427">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16</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2A800D5">
            <w:pPr>
              <w:spacing w:before="120" w:beforeLines="50"/>
              <w:jc w:val="center"/>
              <w:rPr>
                <w:rFonts w:ascii="仿宋_GB2312" w:hAnsi="宋体" w:eastAsia="仿宋_GB2312" w:cs="宋体"/>
                <w:b/>
                <w:bCs/>
                <w:kern w:val="0"/>
                <w:sz w:val="24"/>
              </w:rPr>
            </w:pPr>
          </w:p>
        </w:tc>
      </w:tr>
      <w:tr w14:paraId="2137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4E997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4B13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32673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DE224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C192C95">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104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892" w:type="dxa"/>
            <w:vMerge w:val="restart"/>
            <w:tcBorders>
              <w:top w:val="single" w:color="auto" w:sz="4" w:space="0"/>
              <w:left w:val="single" w:color="auto" w:sz="4" w:space="0"/>
              <w:right w:val="single" w:color="auto" w:sz="4" w:space="0"/>
            </w:tcBorders>
            <w:noWrap w:val="0"/>
            <w:vAlign w:val="center"/>
          </w:tcPr>
          <w:p w14:paraId="304B4714">
            <w:pPr>
              <w:widowControl/>
              <w:jc w:val="left"/>
              <w:rPr>
                <w:rFonts w:ascii="仿宋_GB2312" w:hAnsi="宋体" w:eastAsia="仿宋_GB2312" w:cs="宋体"/>
                <w:b/>
                <w:kern w:val="0"/>
                <w:sz w:val="24"/>
              </w:rPr>
            </w:pPr>
            <w:r>
              <w:rPr>
                <w:rFonts w:hint="eastAsia" w:ascii="仿宋_GB2312" w:hAnsi="宋体" w:eastAsia="仿宋_GB2312" w:cs="宋体"/>
                <w:b/>
                <w:kern w:val="0"/>
                <w:sz w:val="24"/>
              </w:rPr>
              <w:t>3.3 核算方法、数据与《核算指南》的符合性</w:t>
            </w:r>
          </w:p>
        </w:tc>
        <w:tc>
          <w:tcPr>
            <w:tcW w:w="708" w:type="dxa"/>
            <w:vMerge w:val="restart"/>
            <w:tcBorders>
              <w:top w:val="single" w:color="auto" w:sz="4" w:space="0"/>
              <w:left w:val="single" w:color="auto" w:sz="4" w:space="0"/>
              <w:right w:val="single" w:color="auto" w:sz="4" w:space="0"/>
            </w:tcBorders>
            <w:noWrap w:val="0"/>
            <w:vAlign w:val="center"/>
          </w:tcPr>
          <w:p w14:paraId="210ACB25">
            <w:pPr>
              <w:widowControl/>
              <w:jc w:val="left"/>
              <w:rPr>
                <w:rFonts w:ascii="仿宋_GB2312" w:hAnsi="宋体" w:eastAsia="仿宋_GB2312" w:cs="宋体"/>
                <w:b/>
                <w:kern w:val="0"/>
                <w:sz w:val="24"/>
              </w:rPr>
            </w:pPr>
            <w:r>
              <w:rPr>
                <w:rFonts w:hint="eastAsia" w:ascii="仿宋_GB2312" w:hAnsi="宋体" w:eastAsia="仿宋_GB2312" w:cs="宋体"/>
                <w:b/>
                <w:kern w:val="0"/>
                <w:sz w:val="24"/>
              </w:rPr>
              <w:t>33.5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202EFB95">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清晰地描述每一个排放因子的核查发现，核查发现的内容包括：单位、数据来源、监测方法、监测频次、记录频次、数据缺失处理、交叉核对、确认的数值、核查结论。核查机构应对上述每一个排放因子的符合性进行报告。</w:t>
            </w:r>
          </w:p>
          <w:p w14:paraId="6D6CBCA3">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若排放因子为默认值，应描述如下4个方面：(每项2.5分)</w:t>
            </w:r>
          </w:p>
          <w:p w14:paraId="056AAC6A">
            <w:pPr>
              <w:widowControl/>
              <w:numPr>
                <w:ilvl w:val="0"/>
                <w:numId w:val="3"/>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排放因子的来源；</w:t>
            </w:r>
          </w:p>
          <w:p w14:paraId="3DB3ABFD">
            <w:pPr>
              <w:widowControl/>
              <w:numPr>
                <w:ilvl w:val="0"/>
                <w:numId w:val="3"/>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排放因子的单位、取值；</w:t>
            </w:r>
          </w:p>
          <w:p w14:paraId="25701430">
            <w:pPr>
              <w:widowControl/>
              <w:numPr>
                <w:ilvl w:val="0"/>
                <w:numId w:val="3"/>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核查结论；</w:t>
            </w:r>
          </w:p>
          <w:p w14:paraId="06FA8FE5">
            <w:pPr>
              <w:widowControl/>
              <w:numPr>
                <w:ilvl w:val="0"/>
                <w:numId w:val="3"/>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kern w:val="0"/>
                <w:sz w:val="24"/>
              </w:rPr>
              <w:t>简要描述是否存在“不符合</w:t>
            </w:r>
            <w:r>
              <w:rPr>
                <w:rFonts w:hint="eastAsia" w:ascii="仿宋_GB2312" w:hAnsi="楷体" w:eastAsia="仿宋_GB2312" w:cs="宋体"/>
                <w:sz w:val="24"/>
              </w:rPr>
              <w:t>”情况。</w:t>
            </w:r>
          </w:p>
          <w:p w14:paraId="3C9335CE">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若排放因子为实测值,则应描述如下5个方面：(每项2分)</w:t>
            </w:r>
          </w:p>
          <w:p w14:paraId="1FCE320A">
            <w:pPr>
              <w:widowControl/>
              <w:numPr>
                <w:ilvl w:val="0"/>
                <w:numId w:val="4"/>
              </w:numPr>
              <w:tabs>
                <w:tab w:val="left" w:pos="420"/>
              </w:tabs>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对于数据来源，清晰描述排放因子获得方法，如测量或估算等；</w:t>
            </w:r>
          </w:p>
          <w:p w14:paraId="23B8DF1E">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对于监测方法、频率及记录频次，描述要清楚；</w:t>
            </w:r>
          </w:p>
          <w:p w14:paraId="56F32118">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对于参数交叉核对，要清楚地描述核查过程中所使用的证据，如生产日志、抄表记录、能源统计报表等，对无法获得交叉核对证据的情况，应合理解释；</w:t>
            </w:r>
          </w:p>
          <w:p w14:paraId="5669963D">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对于排放因子的取值，应列出数据得出的过程，如月度数据平均的结果，并与核查填报中的数据保持一致；</w:t>
            </w:r>
          </w:p>
          <w:p w14:paraId="6C344249">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对于核查结论，应明确描述其正确性。</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1072AE4">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DFF703B">
            <w:pPr>
              <w:spacing w:before="120" w:beforeLines="50"/>
              <w:jc w:val="center"/>
              <w:rPr>
                <w:rFonts w:ascii="仿宋_GB2312" w:hAnsi="宋体" w:eastAsia="仿宋_GB2312" w:cs="宋体"/>
                <w:b/>
                <w:bCs/>
                <w:kern w:val="0"/>
                <w:sz w:val="24"/>
              </w:rPr>
            </w:pPr>
          </w:p>
        </w:tc>
      </w:tr>
      <w:tr w14:paraId="5BA1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892" w:type="dxa"/>
            <w:vMerge w:val="continue"/>
            <w:tcBorders>
              <w:left w:val="single" w:color="auto" w:sz="4" w:space="0"/>
              <w:right w:val="single" w:color="auto" w:sz="4" w:space="0"/>
            </w:tcBorders>
            <w:noWrap w:val="0"/>
            <w:vAlign w:val="center"/>
          </w:tcPr>
          <w:p w14:paraId="3171BD0B">
            <w:pPr>
              <w:widowControl/>
              <w:jc w:val="left"/>
              <w:rPr>
                <w:rFonts w:ascii="仿宋_GB2312" w:hAnsi="宋体" w:eastAsia="仿宋_GB2312" w:cs="宋体"/>
                <w:b/>
                <w:kern w:val="0"/>
                <w:sz w:val="24"/>
              </w:rPr>
            </w:pPr>
          </w:p>
        </w:tc>
        <w:tc>
          <w:tcPr>
            <w:tcW w:w="708" w:type="dxa"/>
            <w:vMerge w:val="continue"/>
            <w:tcBorders>
              <w:left w:val="single" w:color="auto" w:sz="4" w:space="0"/>
              <w:right w:val="single" w:color="auto" w:sz="4" w:space="0"/>
            </w:tcBorders>
            <w:noWrap w:val="0"/>
            <w:vAlign w:val="center"/>
          </w:tcPr>
          <w:p w14:paraId="76F08210">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7881204">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对于排放因子和活动水平数据之外的其他数据，应判断其符合性。如存在实时监测数据，应详细描述其符合性，并判断是否符合《核算指南》的要求。</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D10B8D6">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FB9B6B6">
            <w:pPr>
              <w:spacing w:before="120" w:beforeLines="50"/>
              <w:jc w:val="center"/>
              <w:rPr>
                <w:rFonts w:ascii="仿宋_GB2312" w:hAnsi="宋体" w:eastAsia="仿宋_GB2312" w:cs="宋体"/>
                <w:b/>
                <w:bCs/>
                <w:kern w:val="0"/>
                <w:sz w:val="24"/>
              </w:rPr>
            </w:pPr>
          </w:p>
        </w:tc>
      </w:tr>
      <w:tr w14:paraId="78BE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892" w:type="dxa"/>
            <w:vMerge w:val="continue"/>
            <w:tcBorders>
              <w:left w:val="single" w:color="auto" w:sz="4" w:space="0"/>
              <w:right w:val="single" w:color="auto" w:sz="4" w:space="0"/>
            </w:tcBorders>
            <w:noWrap w:val="0"/>
            <w:vAlign w:val="center"/>
          </w:tcPr>
          <w:p w14:paraId="3C145999">
            <w:pPr>
              <w:widowControl/>
              <w:jc w:val="left"/>
              <w:rPr>
                <w:rFonts w:ascii="仿宋_GB2312" w:hAnsi="宋体" w:eastAsia="仿宋_GB2312" w:cs="宋体"/>
                <w:b/>
                <w:kern w:val="0"/>
                <w:sz w:val="24"/>
              </w:rPr>
            </w:pPr>
          </w:p>
        </w:tc>
        <w:tc>
          <w:tcPr>
            <w:tcW w:w="708" w:type="dxa"/>
            <w:vMerge w:val="continue"/>
            <w:tcBorders>
              <w:left w:val="single" w:color="auto" w:sz="4" w:space="0"/>
              <w:right w:val="single" w:color="auto" w:sz="4" w:space="0"/>
            </w:tcBorders>
            <w:noWrap w:val="0"/>
            <w:vAlign w:val="center"/>
          </w:tcPr>
          <w:p w14:paraId="28F91063">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AA28B95">
            <w:pPr>
              <w:spacing w:line="360" w:lineRule="exact"/>
              <w:rPr>
                <w:rFonts w:ascii="仿宋_GB2312" w:hAnsi="楷体" w:eastAsia="仿宋_GB2312" w:cs="宋体"/>
                <w:kern w:val="0"/>
                <w:sz w:val="24"/>
              </w:rPr>
            </w:pPr>
            <w:r>
              <w:rPr>
                <w:rFonts w:hint="eastAsia" w:ascii="仿宋_GB2312" w:hAnsi="楷体" w:eastAsia="仿宋_GB2312" w:cs="宋体"/>
                <w:kern w:val="0"/>
                <w:sz w:val="24"/>
              </w:rPr>
              <w:t xml:space="preserve">    清晰地描述新增的补充数据表（如有）及其他生产数据的核查发现，核查发现的内容包括：单位、数据来源、数据缺失处理、交叉核对以及取值，核查机构应对上述每一个生产数据的符合性进行报告。</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03C7D87">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4</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8000170">
            <w:pPr>
              <w:spacing w:before="120" w:beforeLines="50"/>
              <w:jc w:val="center"/>
              <w:rPr>
                <w:rFonts w:ascii="仿宋_GB2312" w:hAnsi="宋体" w:eastAsia="仿宋_GB2312" w:cs="宋体"/>
                <w:b/>
                <w:bCs/>
                <w:kern w:val="0"/>
                <w:sz w:val="24"/>
              </w:rPr>
            </w:pPr>
          </w:p>
        </w:tc>
      </w:tr>
      <w:tr w14:paraId="3641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892" w:type="dxa"/>
            <w:vMerge w:val="continue"/>
            <w:tcBorders>
              <w:left w:val="single" w:color="auto" w:sz="4" w:space="0"/>
              <w:bottom w:val="single" w:color="auto" w:sz="4" w:space="0"/>
              <w:right w:val="single" w:color="auto" w:sz="4" w:space="0"/>
            </w:tcBorders>
            <w:noWrap w:val="0"/>
            <w:vAlign w:val="center"/>
          </w:tcPr>
          <w:p w14:paraId="4464350F">
            <w:pPr>
              <w:widowControl/>
              <w:jc w:val="left"/>
              <w:rPr>
                <w:rFonts w:ascii="仿宋_GB2312" w:hAnsi="宋体" w:eastAsia="仿宋_GB2312" w:cs="宋体"/>
                <w:b/>
                <w:kern w:val="0"/>
                <w:sz w:val="24"/>
              </w:rPr>
            </w:pPr>
          </w:p>
        </w:tc>
        <w:tc>
          <w:tcPr>
            <w:tcW w:w="708" w:type="dxa"/>
            <w:vMerge w:val="continue"/>
            <w:tcBorders>
              <w:left w:val="single" w:color="auto" w:sz="4" w:space="0"/>
              <w:bottom w:val="single" w:color="auto" w:sz="4" w:space="0"/>
              <w:right w:val="single" w:color="auto" w:sz="4" w:space="0"/>
            </w:tcBorders>
            <w:noWrap w:val="0"/>
            <w:vAlign w:val="center"/>
          </w:tcPr>
          <w:p w14:paraId="404B920C">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B24D88C">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描述核查组对本部分核查的核查结论。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5EF1C1">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B46C5CD">
            <w:pPr>
              <w:spacing w:before="120" w:beforeLines="50"/>
              <w:jc w:val="center"/>
              <w:rPr>
                <w:rFonts w:ascii="仿宋_GB2312" w:hAnsi="宋体" w:eastAsia="仿宋_GB2312" w:cs="宋体"/>
                <w:b/>
                <w:bCs/>
                <w:kern w:val="0"/>
                <w:sz w:val="24"/>
              </w:rPr>
            </w:pPr>
          </w:p>
        </w:tc>
      </w:tr>
      <w:tr w14:paraId="0DD2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7EACE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6536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47CD23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422CD4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2D77F0C">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0231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C4B80">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3.4 测量设备校准的符合性</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6D911A">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4</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039D37D">
            <w:pPr>
              <w:widowControl/>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说明对测量设备校准核查的方法和过程。</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318174D">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8F4ECEA">
            <w:pPr>
              <w:widowControl/>
              <w:spacing w:before="120" w:beforeLines="50"/>
              <w:jc w:val="center"/>
              <w:rPr>
                <w:rFonts w:ascii="仿宋_GB2312" w:hAnsi="宋体" w:eastAsia="仿宋_GB2312" w:cs="宋体"/>
                <w:b/>
                <w:bCs/>
                <w:kern w:val="0"/>
                <w:sz w:val="24"/>
              </w:rPr>
            </w:pPr>
          </w:p>
        </w:tc>
      </w:tr>
      <w:tr w14:paraId="7994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1AC34A0F">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4D2DA71">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4C2EE868">
            <w:pPr>
              <w:widowControl/>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对排放报告中每一个测量设备 (包括ZD1《重点排放单位设备信息表》和ZD2《重点排放单位电表信息》中规定的测量设备) 进行核查,并清晰地描述核查发现。对于由电网公司、燃气公司或者其他供应商管控制的测量设备如电表或燃气表等，应当在核查发现中予以说明。</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38B8B0E">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BBBEF1F">
            <w:pPr>
              <w:widowControl/>
              <w:spacing w:before="120" w:beforeLines="50"/>
              <w:jc w:val="center"/>
              <w:rPr>
                <w:rFonts w:ascii="仿宋_GB2312" w:hAnsi="宋体" w:eastAsia="仿宋_GB2312" w:cs="宋体"/>
                <w:b/>
                <w:bCs/>
                <w:kern w:val="0"/>
                <w:sz w:val="24"/>
              </w:rPr>
            </w:pPr>
          </w:p>
        </w:tc>
      </w:tr>
      <w:tr w14:paraId="78C1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7D12B129">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DC7A672">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3E4FD614">
            <w:pPr>
              <w:adjustRightInd w:val="0"/>
              <w:snapToGrid w:val="0"/>
              <w:spacing w:line="360" w:lineRule="exact"/>
              <w:rPr>
                <w:rFonts w:ascii="仿宋_GB2312" w:hAnsi="楷体" w:eastAsia="仿宋_GB2312" w:cs="宋体"/>
                <w:kern w:val="0"/>
                <w:sz w:val="24"/>
              </w:rPr>
            </w:pPr>
            <w:r>
              <w:rPr>
                <w:rFonts w:hint="eastAsia" w:ascii="仿宋_GB2312" w:hAnsi="楷体" w:eastAsia="仿宋_GB2312" w:cs="宋体"/>
                <w:kern w:val="0"/>
                <w:sz w:val="24"/>
              </w:rPr>
              <w:t xml:space="preserve">    描述核查组对本部分核查的核查结论。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B2C13B1">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A342E42">
            <w:pPr>
              <w:widowControl/>
              <w:spacing w:before="120" w:beforeLines="50"/>
              <w:jc w:val="center"/>
              <w:rPr>
                <w:rFonts w:ascii="仿宋_GB2312" w:hAnsi="宋体" w:eastAsia="仿宋_GB2312" w:cs="宋体"/>
                <w:b/>
                <w:bCs/>
                <w:kern w:val="0"/>
                <w:sz w:val="24"/>
              </w:rPr>
            </w:pPr>
          </w:p>
        </w:tc>
      </w:tr>
      <w:tr w14:paraId="33DF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0064A">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3.5 二氧化碳排放量计算过程及结果</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8C6E42">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10</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5138FEC">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描述二氧化碳排放量计算过程及结果核查的方法和过程。</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A5BAE9">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813E4D9">
            <w:pPr>
              <w:widowControl/>
              <w:spacing w:before="120" w:beforeLines="50"/>
              <w:jc w:val="center"/>
              <w:rPr>
                <w:rFonts w:ascii="仿宋_GB2312" w:hAnsi="宋体" w:eastAsia="仿宋_GB2312" w:cs="宋体"/>
                <w:b/>
                <w:bCs/>
                <w:kern w:val="0"/>
                <w:sz w:val="24"/>
              </w:rPr>
            </w:pPr>
          </w:p>
        </w:tc>
      </w:tr>
      <w:tr w14:paraId="75E2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189BCC7F">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74D7FB8">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309B544">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对计算过程及结果的核查，应详细报告如下核查发现：(每项1分)</w:t>
            </w:r>
          </w:p>
          <w:p w14:paraId="1C9C5589">
            <w:pPr>
              <w:widowControl/>
              <w:numPr>
                <w:ilvl w:val="0"/>
                <w:numId w:val="5"/>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排放量的计算公式是否正确；</w:t>
            </w:r>
          </w:p>
          <w:p w14:paraId="51CCE9A2">
            <w:pPr>
              <w:widowControl/>
              <w:numPr>
                <w:ilvl w:val="0"/>
                <w:numId w:val="5"/>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排放量的累加是否正确；</w:t>
            </w:r>
          </w:p>
          <w:p w14:paraId="688AD0BF">
            <w:pPr>
              <w:widowControl/>
              <w:numPr>
                <w:ilvl w:val="0"/>
                <w:numId w:val="5"/>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排放量的计算是否可再现；</w:t>
            </w:r>
          </w:p>
          <w:p w14:paraId="01DA3AB1">
            <w:pPr>
              <w:widowControl/>
              <w:numPr>
                <w:ilvl w:val="0"/>
                <w:numId w:val="5"/>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直接排放和间接排放最终结果计算是否正确；</w:t>
            </w:r>
          </w:p>
          <w:p w14:paraId="346CC10F">
            <w:pPr>
              <w:widowControl/>
              <w:numPr>
                <w:ilvl w:val="0"/>
                <w:numId w:val="5"/>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sz w:val="24"/>
              </w:rPr>
              <w:t>本年度与上一年度的排放量对比变化情况，以及存在异常变化的原因；对于排放量变化超过20%或者5000吨二氧化碳当量的，应重点说明原因。</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EADCA58">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6</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8A823D0">
            <w:pPr>
              <w:spacing w:before="120" w:beforeLines="50"/>
              <w:jc w:val="center"/>
              <w:rPr>
                <w:rFonts w:ascii="仿宋_GB2312" w:hAnsi="宋体" w:eastAsia="仿宋_GB2312" w:cs="宋体"/>
                <w:b/>
                <w:bCs/>
                <w:kern w:val="0"/>
                <w:sz w:val="24"/>
              </w:rPr>
            </w:pPr>
          </w:p>
        </w:tc>
      </w:tr>
      <w:tr w14:paraId="6D9B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1B8CB2A6">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DF7B6A1">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62530BC">
            <w:pPr>
              <w:rPr>
                <w:rFonts w:ascii="仿宋_GB2312" w:hAnsi="楷体" w:eastAsia="仿宋_GB2312" w:cs="宋体"/>
                <w:kern w:val="0"/>
                <w:sz w:val="24"/>
              </w:rPr>
            </w:pPr>
            <w:r>
              <w:rPr>
                <w:rFonts w:hint="eastAsia" w:ascii="仿宋_GB2312" w:hAnsi="楷体" w:eastAsia="仿宋_GB2312" w:cs="宋体"/>
                <w:kern w:val="0"/>
                <w:sz w:val="24"/>
              </w:rPr>
              <w:t>描述核查组对本部分核查的核查结论。排放量的计算结果应当与核查填报中的排放量一致。</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0C55F5">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13182DE">
            <w:pPr>
              <w:spacing w:before="120" w:beforeLines="50"/>
              <w:jc w:val="center"/>
              <w:rPr>
                <w:rFonts w:ascii="仿宋_GB2312" w:hAnsi="宋体" w:eastAsia="仿宋_GB2312" w:cs="宋体"/>
                <w:b/>
                <w:bCs/>
                <w:kern w:val="0"/>
                <w:sz w:val="24"/>
              </w:rPr>
            </w:pPr>
          </w:p>
        </w:tc>
      </w:tr>
      <w:tr w14:paraId="2F9D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29319A64">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22F5C923">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34CD073">
            <w:pPr>
              <w:widowControl/>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描述重点用能单位是否进行不确定性分析，以及量化计算的结果（如有）。</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DEB22CE">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044AFC2">
            <w:pPr>
              <w:widowControl/>
              <w:spacing w:before="120" w:beforeLines="50"/>
              <w:jc w:val="center"/>
              <w:rPr>
                <w:rFonts w:ascii="仿宋_GB2312" w:hAnsi="宋体" w:eastAsia="仿宋_GB2312" w:cs="宋体"/>
                <w:b/>
                <w:bCs/>
                <w:kern w:val="0"/>
                <w:sz w:val="24"/>
              </w:rPr>
            </w:pPr>
          </w:p>
        </w:tc>
      </w:tr>
      <w:tr w14:paraId="1ADF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FE50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F910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9F06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49B9F8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3BE04D0">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76BA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2A0962">
            <w:pPr>
              <w:widowControl/>
              <w:spacing w:before="120" w:beforeLines="50"/>
              <w:jc w:val="left"/>
              <w:rPr>
                <w:rFonts w:ascii="仿宋_GB2312" w:hAnsi="宋体" w:eastAsia="仿宋_GB2312" w:cs="宋体"/>
                <w:b/>
                <w:kern w:val="0"/>
                <w:sz w:val="24"/>
              </w:rPr>
            </w:pPr>
            <w:r>
              <w:rPr>
                <w:rFonts w:hint="eastAsia" w:ascii="仿宋_GB2312" w:hAnsi="宋体" w:eastAsia="仿宋_GB2312" w:cs="宋体"/>
                <w:b/>
                <w:kern w:val="0"/>
                <w:sz w:val="24"/>
              </w:rPr>
              <w:t>3.6新增排放设施及既有设施退出的核查</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DDFEF3">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715B070">
            <w:pPr>
              <w:widowControl/>
              <w:spacing w:line="360" w:lineRule="exact"/>
              <w:rPr>
                <w:rFonts w:ascii="仿宋_GB2312" w:hAnsi="楷体" w:eastAsia="仿宋_GB2312" w:cs="宋体"/>
                <w:kern w:val="0"/>
                <w:sz w:val="24"/>
              </w:rPr>
            </w:pPr>
            <w:r>
              <w:rPr>
                <w:rFonts w:hint="eastAsia" w:ascii="仿宋_GB2312" w:hAnsi="楷体" w:eastAsia="仿宋_GB2312" w:cs="宋体"/>
                <w:kern w:val="0"/>
                <w:sz w:val="24"/>
              </w:rPr>
              <w:t>如果有新增设施，核查机构应：(每项0.5分)</w:t>
            </w:r>
          </w:p>
          <w:p w14:paraId="1989C3BA">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清晰地描述新增设施基本信息的核查；</w:t>
            </w:r>
          </w:p>
          <w:p w14:paraId="38A3783E">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清晰地描述新增设施生产数据的核查；</w:t>
            </w:r>
          </w:p>
          <w:p w14:paraId="7EA91A86">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清晰地描述新增设施排放量的核查；</w:t>
            </w:r>
          </w:p>
          <w:p w14:paraId="55878839">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清晰地描述新增设施排放强度的核查；</w:t>
            </w:r>
          </w:p>
          <w:p w14:paraId="4F211801">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清晰地描述新增设施替代既有设施的核查</w:t>
            </w:r>
          </w:p>
          <w:p w14:paraId="57191BB0">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清晰地描述既有设施退出的核查;</w:t>
            </w:r>
          </w:p>
          <w:p w14:paraId="57D4BE46">
            <w:pPr>
              <w:widowControl/>
              <w:numPr>
                <w:ilvl w:val="0"/>
                <w:numId w:val="6"/>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核查结论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8E61210">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3E4368E">
            <w:pPr>
              <w:widowControl/>
              <w:spacing w:before="120" w:beforeLines="50"/>
              <w:jc w:val="center"/>
              <w:rPr>
                <w:rFonts w:ascii="仿宋_GB2312" w:hAnsi="宋体" w:eastAsia="仿宋_GB2312" w:cs="宋体"/>
                <w:b/>
                <w:bCs/>
                <w:kern w:val="0"/>
                <w:sz w:val="24"/>
              </w:rPr>
            </w:pPr>
          </w:p>
        </w:tc>
      </w:tr>
      <w:tr w14:paraId="7190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8F0F03">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3.7 未来二氧化碳控制措施</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D72FAF">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6031A83">
            <w:pPr>
              <w:widowControl/>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sz w:val="24"/>
              </w:rPr>
              <w:t>描述</w:t>
            </w:r>
            <w:r>
              <w:rPr>
                <w:rFonts w:hint="eastAsia" w:ascii="仿宋_GB2312" w:hAnsi="楷体" w:eastAsia="仿宋_GB2312" w:cs="宋体"/>
                <w:kern w:val="0"/>
                <w:sz w:val="24"/>
              </w:rPr>
              <w:t>未来3～5年控制二氧化碳排放的措施；</w:t>
            </w:r>
          </w:p>
          <w:p w14:paraId="6404D913">
            <w:pPr>
              <w:widowControl/>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如有控排措施，预估采取措施情况下的排放量；</w:t>
            </w:r>
          </w:p>
          <w:p w14:paraId="7C2B0089">
            <w:pPr>
              <w:widowControl/>
              <w:spacing w:line="360" w:lineRule="exact"/>
              <w:ind w:left="420" w:firstLine="120" w:firstLineChars="50"/>
              <w:rPr>
                <w:rFonts w:ascii="仿宋_GB2312" w:hAnsi="楷体" w:eastAsia="仿宋_GB2312" w:cs="宋体"/>
                <w:kern w:val="0"/>
                <w:sz w:val="24"/>
              </w:rPr>
            </w:pPr>
            <w:r>
              <w:rPr>
                <w:rFonts w:hint="eastAsia" w:ascii="仿宋_GB2312" w:hAnsi="楷体" w:eastAsia="仿宋_GB2312" w:cs="宋体"/>
                <w:kern w:val="0"/>
                <w:sz w:val="24"/>
              </w:rPr>
              <w:t>如无控排措施，预估未采取措施情况下的排放量。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34E1D1">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1E39BF9">
            <w:pPr>
              <w:widowControl/>
              <w:spacing w:before="120" w:beforeLines="50"/>
              <w:jc w:val="center"/>
              <w:rPr>
                <w:rFonts w:ascii="仿宋_GB2312" w:hAnsi="宋体" w:eastAsia="仿宋_GB2312" w:cs="宋体"/>
                <w:b/>
                <w:bCs/>
                <w:kern w:val="0"/>
                <w:sz w:val="24"/>
              </w:rPr>
            </w:pPr>
          </w:p>
        </w:tc>
      </w:tr>
      <w:tr w14:paraId="6DEF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E37897">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3.8 对监测计划的核查</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B6894">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28FE3B00">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描述重点排放单位监测计划，包括：(每项0.5分)</w:t>
            </w:r>
          </w:p>
          <w:p w14:paraId="326AF166">
            <w:pPr>
              <w:widowControl/>
              <w:numPr>
                <w:ilvl w:val="0"/>
                <w:numId w:val="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本年度监测计划的执行情况，分析存在的问题；</w:t>
            </w:r>
          </w:p>
          <w:p w14:paraId="4C82866F">
            <w:pPr>
              <w:widowControl/>
              <w:numPr>
                <w:ilvl w:val="0"/>
                <w:numId w:val="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下年度监测计划的合理性，对不合理情况提出修改建议。</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241E8D1">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F1FCD04">
            <w:pPr>
              <w:widowControl/>
              <w:spacing w:before="120" w:beforeLines="50"/>
              <w:jc w:val="center"/>
              <w:rPr>
                <w:rFonts w:ascii="仿宋_GB2312" w:hAnsi="宋体" w:eastAsia="仿宋_GB2312" w:cs="宋体"/>
                <w:b/>
                <w:bCs/>
                <w:kern w:val="0"/>
                <w:sz w:val="24"/>
              </w:rPr>
            </w:pPr>
          </w:p>
        </w:tc>
      </w:tr>
      <w:tr w14:paraId="7FF6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41BA5">
            <w:pPr>
              <w:widowControl/>
              <w:spacing w:before="120" w:beforeLines="50"/>
              <w:jc w:val="left"/>
              <w:rPr>
                <w:rFonts w:ascii="仿宋_GB2312" w:hAnsi="宋体" w:eastAsia="仿宋_GB2312" w:cs="宋体"/>
                <w:b/>
                <w:kern w:val="0"/>
                <w:sz w:val="24"/>
              </w:rPr>
            </w:pPr>
            <w:r>
              <w:rPr>
                <w:rFonts w:hint="eastAsia" w:ascii="仿宋_GB2312" w:hAnsi="宋体" w:eastAsia="仿宋_GB2312" w:cs="宋体"/>
                <w:b/>
                <w:kern w:val="0"/>
                <w:sz w:val="24"/>
              </w:rPr>
              <w:t>3.9 对京内移动设施和京外能源消费总量的核查</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ED55F5">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1.5</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7B348D6">
            <w:pPr>
              <w:widowControl/>
              <w:spacing w:line="360" w:lineRule="exact"/>
              <w:ind w:left="420"/>
              <w:rPr>
                <w:rFonts w:ascii="仿宋_GB2312" w:hAnsi="楷体" w:eastAsia="仿宋_GB2312" w:cs="宋体"/>
                <w:kern w:val="0"/>
                <w:sz w:val="24"/>
              </w:rPr>
            </w:pPr>
            <w:r>
              <w:rPr>
                <w:rFonts w:hint="eastAsia" w:ascii="仿宋_GB2312" w:hAnsi="楷体" w:eastAsia="仿宋_GB2312" w:cs="宋体"/>
                <w:kern w:val="0"/>
                <w:sz w:val="24"/>
              </w:rPr>
              <w:t>描述京内移动</w:t>
            </w:r>
            <w:r>
              <w:rPr>
                <w:rFonts w:hint="eastAsia" w:ascii="仿宋_GB2312" w:hAnsi="楷体" w:eastAsia="仿宋_GB2312"/>
                <w:sz w:val="24"/>
              </w:rPr>
              <w:t>设施</w:t>
            </w:r>
            <w:r>
              <w:rPr>
                <w:rFonts w:hint="eastAsia" w:ascii="仿宋_GB2312" w:hAnsi="楷体" w:eastAsia="仿宋_GB2312" w:cs="宋体"/>
                <w:kern w:val="0"/>
                <w:sz w:val="24"/>
              </w:rPr>
              <w:t>和京外化石燃料消费的核查发现，核查发现应报告：(每项0.5分)</w:t>
            </w:r>
          </w:p>
          <w:p w14:paraId="6F453220">
            <w:pPr>
              <w:widowControl/>
              <w:numPr>
                <w:ilvl w:val="0"/>
                <w:numId w:val="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是否存在京内移动源和京外化石燃料的消费；</w:t>
            </w:r>
          </w:p>
          <w:p w14:paraId="02FD3492">
            <w:pPr>
              <w:widowControl/>
              <w:numPr>
                <w:ilvl w:val="0"/>
                <w:numId w:val="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京内移动源消耗是否与相关证据一致；</w:t>
            </w:r>
          </w:p>
          <w:p w14:paraId="7B00C54B">
            <w:pPr>
              <w:widowControl/>
              <w:numPr>
                <w:ilvl w:val="0"/>
                <w:numId w:val="7"/>
              </w:numPr>
              <w:spacing w:line="360" w:lineRule="exact"/>
              <w:ind w:left="259" w:hanging="259" w:hangingChars="108"/>
              <w:rPr>
                <w:rFonts w:ascii="仿宋_GB2312" w:hAnsi="宋体" w:eastAsia="仿宋_GB2312" w:cs="宋体"/>
                <w:kern w:val="0"/>
                <w:sz w:val="24"/>
              </w:rPr>
            </w:pPr>
            <w:r>
              <w:rPr>
                <w:rFonts w:hint="eastAsia" w:ascii="仿宋_GB2312" w:hAnsi="楷体" w:eastAsia="仿宋_GB2312" w:cs="宋体"/>
                <w:kern w:val="0"/>
                <w:sz w:val="24"/>
              </w:rPr>
              <w:t>京外化石燃料的消费是否与相关证据一致</w:t>
            </w:r>
            <w:r>
              <w:rPr>
                <w:rFonts w:hint="eastAsia" w:ascii="仿宋_GB2312" w:hAnsi="宋体" w:eastAsia="仿宋_GB2312" w:cs="宋体"/>
                <w:kern w:val="0"/>
                <w:sz w:val="24"/>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878237">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1.5</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B5074AD">
            <w:pPr>
              <w:widowControl/>
              <w:spacing w:before="120" w:beforeLines="50"/>
              <w:jc w:val="center"/>
              <w:rPr>
                <w:rFonts w:ascii="仿宋_GB2312" w:hAnsi="宋体" w:eastAsia="仿宋_GB2312" w:cs="宋体"/>
                <w:b/>
                <w:bCs/>
                <w:kern w:val="0"/>
                <w:sz w:val="24"/>
              </w:rPr>
            </w:pPr>
          </w:p>
        </w:tc>
      </w:tr>
      <w:tr w14:paraId="664B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977E2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8AC49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E7850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0BEE4C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9028EA1">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14BF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49A124">
            <w:pPr>
              <w:widowControl/>
              <w:spacing w:before="120" w:beforeLines="50"/>
              <w:jc w:val="left"/>
              <w:rPr>
                <w:rFonts w:ascii="仿宋_GB2312" w:hAnsi="宋体" w:eastAsia="仿宋_GB2312" w:cs="宋体"/>
                <w:b/>
                <w:kern w:val="0"/>
                <w:sz w:val="24"/>
              </w:rPr>
            </w:pPr>
            <w:r>
              <w:rPr>
                <w:rFonts w:hint="eastAsia" w:ascii="仿宋_GB2312" w:hAnsi="宋体" w:eastAsia="仿宋_GB2312" w:cs="宋体"/>
                <w:b/>
                <w:kern w:val="0"/>
                <w:sz w:val="24"/>
              </w:rPr>
              <w:t>3.10 对质量管理体系的核查</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912EC8">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90158FC">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简要描述重点排放单位二氧化碳核算和报告质量管理体系，包括：(每项0.5分)</w:t>
            </w:r>
          </w:p>
          <w:p w14:paraId="32C3CB77">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排放报告职责的安排；数据的测量、收集和获取过程建立的规章制度；</w:t>
            </w:r>
          </w:p>
          <w:p w14:paraId="1DB25BCF">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针对数据缺失、生产活动变化以及报告方法变更的应对措施；</w:t>
            </w:r>
          </w:p>
          <w:p w14:paraId="7DD2D80F">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二氧化碳方面的宣传、教育及培训工作；</w:t>
            </w:r>
          </w:p>
          <w:p w14:paraId="22BC3C3A">
            <w:pPr>
              <w:widowControl/>
              <w:numPr>
                <w:ilvl w:val="0"/>
                <w:numId w:val="2"/>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文档管理，保存、维护有关二氧化碳核算相关的数据文档和数据记录（包括纸质版和电子版）的保存和管理。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A387B9E">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2BED9A2">
            <w:pPr>
              <w:widowControl/>
              <w:spacing w:before="120" w:beforeLines="50"/>
              <w:jc w:val="center"/>
              <w:rPr>
                <w:rFonts w:ascii="仿宋_GB2312" w:hAnsi="宋体" w:eastAsia="仿宋_GB2312" w:cs="宋体"/>
                <w:b/>
                <w:bCs/>
                <w:kern w:val="0"/>
                <w:sz w:val="24"/>
              </w:rPr>
            </w:pPr>
          </w:p>
        </w:tc>
      </w:tr>
      <w:tr w14:paraId="76E0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786B72">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4.核查结论</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D31205">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6</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E92A81B">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核查结论包含下列内容：(每项1分)</w:t>
            </w:r>
          </w:p>
          <w:p w14:paraId="15982248">
            <w:pPr>
              <w:widowControl/>
              <w:numPr>
                <w:ilvl w:val="0"/>
                <w:numId w:val="8"/>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二氧化碳重点排放单位的核算、报告与方法学的符合性；</w:t>
            </w:r>
          </w:p>
          <w:p w14:paraId="46FA03BE">
            <w:pPr>
              <w:widowControl/>
              <w:numPr>
                <w:ilvl w:val="0"/>
                <w:numId w:val="8"/>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经核查的直接和间接排放量、以及活动水平数据的声明（包括需要特殊报告的分项，比如居民社区供暖的单独报告）；</w:t>
            </w:r>
          </w:p>
          <w:p w14:paraId="0916FC3B">
            <w:pPr>
              <w:widowControl/>
              <w:numPr>
                <w:ilvl w:val="0"/>
                <w:numId w:val="8"/>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核查结果与能耗统计数据对比分析，</w:t>
            </w:r>
            <w:r>
              <w:rPr>
                <w:rFonts w:hint="eastAsia" w:ascii="仿宋_GB2312" w:hAnsi="楷体" w:eastAsia="仿宋_GB2312"/>
                <w:kern w:val="0"/>
                <w:sz w:val="24"/>
              </w:rPr>
              <w:t>年度活动水平数据或排放量异常波动的原因说明，尤其对于下降幅度特别明显的，应给予详细解释（若适用）</w:t>
            </w:r>
            <w:r>
              <w:rPr>
                <w:rFonts w:hint="eastAsia" w:ascii="仿宋_GB2312" w:hAnsi="楷体" w:eastAsia="仿宋_GB2312" w:cs="宋体"/>
                <w:kern w:val="0"/>
                <w:sz w:val="24"/>
              </w:rPr>
              <w:t>；</w:t>
            </w:r>
          </w:p>
          <w:p w14:paraId="21250402">
            <w:pPr>
              <w:widowControl/>
              <w:numPr>
                <w:ilvl w:val="0"/>
                <w:numId w:val="8"/>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本年度核算和报告边界变化情况：包括新增设施变化及相应的活动水平、排放水平、排放强度、对既有设施的替代/或者既有设施的变化等；</w:t>
            </w:r>
          </w:p>
          <w:p w14:paraId="7DC16FD7">
            <w:pPr>
              <w:widowControl/>
              <w:numPr>
                <w:ilvl w:val="0"/>
                <w:numId w:val="8"/>
              </w:numPr>
              <w:adjustRightInd w:val="0"/>
              <w:snapToGrid w:val="0"/>
              <w:spacing w:line="24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核查过程未覆盖到的问题的描述</w:t>
            </w:r>
            <w:r>
              <w:rPr>
                <w:rFonts w:hint="eastAsia" w:ascii="仿宋_GB2312" w:hAnsi="楷体" w:eastAsia="仿宋_GB2312" w:cs="宋体"/>
                <w:strike/>
                <w:kern w:val="0"/>
                <w:sz w:val="24"/>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CA1357">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6</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0A686AB">
            <w:pPr>
              <w:widowControl/>
              <w:spacing w:before="120" w:beforeLines="50"/>
              <w:jc w:val="center"/>
              <w:rPr>
                <w:rFonts w:ascii="仿宋_GB2312" w:hAnsi="宋体" w:eastAsia="仿宋_GB2312" w:cs="宋体"/>
                <w:b/>
                <w:bCs/>
                <w:kern w:val="0"/>
                <w:sz w:val="24"/>
              </w:rPr>
            </w:pPr>
          </w:p>
        </w:tc>
      </w:tr>
      <w:tr w14:paraId="5A4D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F4E39B">
            <w:pPr>
              <w:spacing w:before="120" w:beforeLines="50"/>
              <w:rPr>
                <w:rFonts w:ascii="仿宋_GB2312" w:hAnsi="宋体" w:eastAsia="仿宋_GB2312" w:cs="宋体"/>
                <w:b/>
                <w:kern w:val="0"/>
                <w:sz w:val="24"/>
              </w:rPr>
            </w:pPr>
            <w:r>
              <w:rPr>
                <w:rFonts w:hint="eastAsia" w:ascii="仿宋_GB2312" w:hAnsi="宋体" w:eastAsia="仿宋_GB2312" w:cs="宋体"/>
                <w:b/>
                <w:kern w:val="0"/>
                <w:sz w:val="24"/>
              </w:rPr>
              <w:t>5.附件</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C7EB74">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4</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6D925619">
            <w:pPr>
              <w:numPr>
                <w:ilvl w:val="0"/>
                <w:numId w:val="9"/>
              </w:numPr>
              <w:spacing w:line="360" w:lineRule="exact"/>
              <w:rPr>
                <w:rFonts w:ascii="仿宋_GB2312" w:hAnsi="楷体" w:eastAsia="仿宋_GB2312" w:cs="宋体"/>
                <w:kern w:val="0"/>
                <w:sz w:val="24"/>
              </w:rPr>
            </w:pPr>
            <w:r>
              <w:rPr>
                <w:rFonts w:hint="eastAsia" w:ascii="仿宋_GB2312" w:hAnsi="楷体" w:eastAsia="仿宋_GB2312" w:cs="宋体"/>
                <w:kern w:val="0"/>
                <w:sz w:val="24"/>
              </w:rPr>
              <w:t>不符合：(每项1分)</w:t>
            </w:r>
          </w:p>
          <w:p w14:paraId="1F428F2C">
            <w:pPr>
              <w:widowControl/>
              <w:numPr>
                <w:ilvl w:val="0"/>
                <w:numId w:val="10"/>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不符合的开具应当合理，并能与核查报告正文相对应；</w:t>
            </w:r>
          </w:p>
          <w:p w14:paraId="0A8BF1D4">
            <w:pPr>
              <w:widowControl/>
              <w:numPr>
                <w:ilvl w:val="0"/>
                <w:numId w:val="10"/>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二氧化碳重点排放单位原因分析应当合理；</w:t>
            </w:r>
          </w:p>
          <w:p w14:paraId="59C07598">
            <w:pPr>
              <w:widowControl/>
              <w:numPr>
                <w:ilvl w:val="0"/>
                <w:numId w:val="10"/>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二氧化碳重点排放单位采取的纠正及纠正措施应当合理。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D889A22">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EC0A4AE">
            <w:pPr>
              <w:widowControl/>
              <w:spacing w:before="120" w:beforeLines="50"/>
              <w:jc w:val="center"/>
              <w:rPr>
                <w:rFonts w:ascii="仿宋_GB2312" w:hAnsi="宋体" w:eastAsia="仿宋_GB2312" w:cs="宋体"/>
                <w:b/>
                <w:bCs/>
                <w:kern w:val="0"/>
                <w:sz w:val="24"/>
              </w:rPr>
            </w:pPr>
          </w:p>
        </w:tc>
      </w:tr>
      <w:tr w14:paraId="1CD2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14:paraId="4337E015">
            <w:pPr>
              <w:widowControl/>
              <w:jc w:val="left"/>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6BAFE9A">
            <w:pPr>
              <w:widowControl/>
              <w:jc w:val="left"/>
              <w:rPr>
                <w:rFonts w:ascii="仿宋_GB2312" w:hAnsi="宋体" w:eastAsia="仿宋_GB2312" w:cs="宋体"/>
                <w:b/>
                <w:kern w:val="0"/>
                <w:sz w:val="24"/>
              </w:rPr>
            </w:pP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5D5A7006">
            <w:pPr>
              <w:widowControl/>
              <w:numPr>
                <w:ilvl w:val="0"/>
                <w:numId w:val="9"/>
              </w:numPr>
              <w:spacing w:line="360" w:lineRule="exact"/>
              <w:rPr>
                <w:rFonts w:ascii="仿宋_GB2312" w:hAnsi="楷体" w:eastAsia="仿宋_GB2312" w:cs="宋体"/>
                <w:kern w:val="0"/>
                <w:sz w:val="24"/>
              </w:rPr>
            </w:pPr>
            <w:r>
              <w:rPr>
                <w:rFonts w:hint="eastAsia" w:ascii="仿宋_GB2312" w:hAnsi="楷体" w:eastAsia="仿宋_GB2312" w:cs="宋体"/>
                <w:kern w:val="0"/>
                <w:sz w:val="24"/>
              </w:rPr>
              <w:t>对二氧化碳重点排放单位</w:t>
            </w:r>
            <w:r>
              <w:rPr>
                <w:rFonts w:hint="eastAsia" w:ascii="仿宋_GB2312" w:hAnsi="楷体" w:eastAsia="仿宋_GB2312"/>
                <w:sz w:val="24"/>
              </w:rPr>
              <w:t>遵照</w:t>
            </w:r>
            <w:r>
              <w:rPr>
                <w:rFonts w:hint="eastAsia" w:ascii="仿宋_GB2312" w:hAnsi="楷体" w:eastAsia="仿宋_GB2312" w:cs="宋体"/>
                <w:kern w:val="0"/>
                <w:sz w:val="24"/>
              </w:rPr>
              <w:t>核算报告指南内容，但将来有可能出现错误报告或不符合的情况提出建议。</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740583">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3ABA14A">
            <w:pPr>
              <w:widowControl/>
              <w:spacing w:before="120" w:beforeLines="50"/>
              <w:jc w:val="center"/>
              <w:rPr>
                <w:rFonts w:ascii="仿宋_GB2312" w:hAnsi="宋体" w:eastAsia="仿宋_GB2312" w:cs="宋体"/>
                <w:b/>
                <w:bCs/>
                <w:kern w:val="0"/>
                <w:sz w:val="24"/>
              </w:rPr>
            </w:pPr>
          </w:p>
        </w:tc>
      </w:tr>
      <w:tr w14:paraId="7FBE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625" w:type="dxa"/>
            <w:gridSpan w:val="6"/>
            <w:tcBorders>
              <w:top w:val="single" w:color="auto" w:sz="4" w:space="0"/>
              <w:left w:val="single" w:color="auto" w:sz="4" w:space="0"/>
              <w:bottom w:val="single" w:color="auto" w:sz="4" w:space="0"/>
              <w:right w:val="single" w:color="auto" w:sz="4" w:space="0"/>
            </w:tcBorders>
            <w:noWrap w:val="0"/>
            <w:vAlign w:val="center"/>
          </w:tcPr>
          <w:p w14:paraId="188C51E4">
            <w:pPr>
              <w:widowControl/>
              <w:spacing w:before="120" w:beforeLines="50"/>
              <w:jc w:val="center"/>
              <w:rPr>
                <w:rFonts w:ascii="仿宋_GB2312" w:hAnsi="宋体" w:eastAsia="仿宋_GB2312" w:cs="宋体"/>
                <w:b/>
                <w:kern w:val="0"/>
                <w:sz w:val="24"/>
              </w:rPr>
            </w:pPr>
          </w:p>
        </w:tc>
      </w:tr>
      <w:tr w14:paraId="4721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507651">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b/>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09ADC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分值</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132E4B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楷体" w:eastAsia="仿宋_GB2312" w:cs="宋体"/>
                <w:kern w:val="0"/>
                <w:sz w:val="24"/>
              </w:rPr>
            </w:pPr>
            <w:r>
              <w:rPr>
                <w:rFonts w:hint="eastAsia" w:ascii="仿宋_GB2312" w:hAnsi="宋体" w:eastAsia="仿宋_GB2312" w:cs="宋体"/>
                <w:b/>
                <w:bCs/>
                <w:kern w:val="0"/>
                <w:sz w:val="24"/>
              </w:rPr>
              <w:t>评分要点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269407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b/>
                <w:kern w:val="0"/>
                <w:sz w:val="24"/>
              </w:rPr>
            </w:pPr>
            <w:r>
              <w:rPr>
                <w:rFonts w:hint="eastAsia" w:ascii="仿宋_GB2312" w:hAnsi="宋体" w:eastAsia="仿宋_GB2312" w:cs="宋体"/>
                <w:b/>
                <w:bCs/>
                <w:kern w:val="0"/>
                <w:sz w:val="24"/>
              </w:rPr>
              <w:t>标准分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6911E90">
            <w:pPr>
              <w:keepNext w:val="0"/>
              <w:keepLines w:val="0"/>
              <w:pageBreakBefore w:val="0"/>
              <w:widowControl w:val="0"/>
              <w:kinsoku/>
              <w:wordWrap/>
              <w:overflowPunct/>
              <w:topLinePunct w:val="0"/>
              <w:autoSpaceDE/>
              <w:autoSpaceDN/>
              <w:bidi w:val="0"/>
              <w:adjustRightInd/>
              <w:snapToGrid/>
              <w:ind w:left="-120" w:leftChars="-50" w:right="-120" w:rightChars="-50"/>
              <w:jc w:val="center"/>
              <w:textAlignment w:val="auto"/>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14:paraId="0928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93EFB">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5)参考文件</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CBC46">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7BBC806A">
            <w:pPr>
              <w:widowControl/>
              <w:spacing w:line="360" w:lineRule="exact"/>
              <w:ind w:left="420"/>
              <w:rPr>
                <w:rFonts w:ascii="仿宋_GB2312" w:hAnsi="楷体" w:eastAsia="仿宋_GB2312" w:cs="宋体"/>
                <w:kern w:val="0"/>
                <w:sz w:val="24"/>
              </w:rPr>
            </w:pPr>
            <w:r>
              <w:rPr>
                <w:rFonts w:hint="eastAsia" w:ascii="仿宋_GB2312" w:hAnsi="楷体" w:eastAsia="仿宋_GB2312" w:cs="宋体"/>
                <w:kern w:val="0"/>
                <w:sz w:val="24"/>
              </w:rPr>
              <w:t>列出核查过程的支持性材料和证据清单。</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5594414">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04B8597">
            <w:pPr>
              <w:widowControl/>
              <w:spacing w:before="120" w:beforeLines="50"/>
              <w:jc w:val="center"/>
              <w:rPr>
                <w:rFonts w:ascii="仿宋_GB2312" w:hAnsi="宋体" w:eastAsia="仿宋_GB2312" w:cs="宋体"/>
                <w:b/>
                <w:bCs/>
                <w:kern w:val="0"/>
                <w:sz w:val="24"/>
              </w:rPr>
            </w:pPr>
          </w:p>
        </w:tc>
      </w:tr>
      <w:tr w14:paraId="29E3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EE8C2D">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分数合计</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B7581">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100</w:t>
            </w:r>
          </w:p>
        </w:tc>
        <w:tc>
          <w:tcPr>
            <w:tcW w:w="10400" w:type="dxa"/>
            <w:gridSpan w:val="2"/>
            <w:tcBorders>
              <w:top w:val="single" w:color="auto" w:sz="4" w:space="0"/>
              <w:left w:val="single" w:color="auto" w:sz="4" w:space="0"/>
              <w:bottom w:val="single" w:color="auto" w:sz="4" w:space="0"/>
              <w:right w:val="single" w:color="auto" w:sz="4" w:space="0"/>
            </w:tcBorders>
            <w:noWrap w:val="0"/>
            <w:vAlign w:val="center"/>
          </w:tcPr>
          <w:p w14:paraId="08C08DDC">
            <w:pPr>
              <w:spacing w:before="120" w:beforeLines="50" w:line="300" w:lineRule="exact"/>
              <w:rPr>
                <w:rFonts w:ascii="仿宋_GB2312" w:hAnsi="楷体" w:eastAsia="仿宋_GB2312" w:cs="宋体"/>
                <w:b/>
                <w:bCs/>
                <w:kern w:val="0"/>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6307CCA">
            <w:pPr>
              <w:widowControl/>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71637C5">
            <w:pPr>
              <w:widowControl/>
              <w:spacing w:before="120" w:beforeLines="50"/>
              <w:jc w:val="center"/>
              <w:rPr>
                <w:rFonts w:ascii="仿宋_GB2312" w:hAnsi="宋体" w:eastAsia="仿宋_GB2312" w:cs="宋体"/>
                <w:b/>
                <w:bCs/>
                <w:kern w:val="0"/>
                <w:sz w:val="24"/>
              </w:rPr>
            </w:pPr>
          </w:p>
        </w:tc>
      </w:tr>
      <w:tr w14:paraId="5C9C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4625"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58BFC8">
            <w:pPr>
              <w:widowControl/>
              <w:spacing w:before="120" w:beforeLines="50"/>
              <w:jc w:val="center"/>
              <w:rPr>
                <w:rFonts w:ascii="仿宋_GB2312" w:hAnsi="宋体" w:eastAsia="仿宋_GB2312" w:cs="宋体"/>
                <w:b/>
                <w:kern w:val="0"/>
                <w:sz w:val="24"/>
              </w:rPr>
            </w:pPr>
          </w:p>
        </w:tc>
      </w:tr>
      <w:tr w14:paraId="74C9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4112"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9221D2">
            <w:pPr>
              <w:widowControl/>
              <w:spacing w:before="120" w:beforeLines="50"/>
              <w:jc w:val="center"/>
              <w:rPr>
                <w:rFonts w:ascii="仿宋_GB2312" w:hAnsi="宋体" w:eastAsia="仿宋_GB2312" w:cs="宋体"/>
                <w:b/>
                <w:kern w:val="0"/>
                <w:sz w:val="24"/>
              </w:rPr>
            </w:pPr>
            <w:r>
              <w:rPr>
                <w:rFonts w:hint="eastAsia" w:ascii="仿宋_GB2312" w:hAnsi="楷体" w:eastAsia="仿宋_GB2312"/>
                <w:sz w:val="24"/>
              </w:rPr>
              <w:t>是否建议本核查报告进行抽查？</w:t>
            </w:r>
          </w:p>
        </w:tc>
        <w:tc>
          <w:tcPr>
            <w:tcW w:w="1051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130FEC">
            <w:pPr>
              <w:widowControl/>
              <w:spacing w:before="120" w:beforeLines="50"/>
              <w:ind w:left="-204" w:leftChars="-85" w:firstLine="236" w:firstLineChars="98"/>
              <w:rPr>
                <w:rFonts w:ascii="仿宋_GB2312" w:hAnsi="宋体" w:eastAsia="仿宋_GB2312" w:cs="宋体"/>
                <w:b/>
                <w:kern w:val="0"/>
                <w:sz w:val="24"/>
              </w:rPr>
            </w:pPr>
            <w:r>
              <w:rPr>
                <w:rFonts w:hint="eastAsia" w:ascii="仿宋_GB2312" w:hAnsi="宋体" w:eastAsia="仿宋_GB2312" w:cs="宋体"/>
                <w:b/>
                <w:kern w:val="0"/>
                <w:sz w:val="24"/>
              </w:rPr>
              <w:t>是(并简述理由)</w:t>
            </w:r>
          </w:p>
        </w:tc>
      </w:tr>
      <w:tr w14:paraId="2392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4112"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725010">
            <w:pPr>
              <w:widowControl/>
              <w:jc w:val="left"/>
              <w:rPr>
                <w:rFonts w:ascii="仿宋_GB2312" w:hAnsi="宋体" w:eastAsia="仿宋_GB2312" w:cs="宋体"/>
                <w:b/>
                <w:kern w:val="0"/>
                <w:sz w:val="24"/>
              </w:rPr>
            </w:pPr>
          </w:p>
        </w:tc>
        <w:tc>
          <w:tcPr>
            <w:tcW w:w="1051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45B468">
            <w:pPr>
              <w:widowControl/>
              <w:spacing w:before="120" w:beforeLines="50"/>
              <w:ind w:left="-204" w:leftChars="-85" w:firstLine="236" w:firstLineChars="98"/>
              <w:rPr>
                <w:rFonts w:ascii="仿宋_GB2312" w:hAnsi="宋体" w:eastAsia="仿宋_GB2312" w:cs="宋体"/>
                <w:b/>
                <w:kern w:val="0"/>
                <w:sz w:val="24"/>
              </w:rPr>
            </w:pPr>
            <w:r>
              <w:rPr>
                <w:rFonts w:hint="eastAsia" w:ascii="仿宋_GB2312" w:hAnsi="宋体" w:eastAsia="仿宋_GB2312" w:cs="宋体"/>
                <w:b/>
                <w:kern w:val="0"/>
                <w:sz w:val="24"/>
              </w:rPr>
              <w:t>否(并简述理由)</w:t>
            </w:r>
          </w:p>
        </w:tc>
      </w:tr>
    </w:tbl>
    <w:p w14:paraId="26C4D8CD"/>
    <w:p w14:paraId="45D75493"/>
    <w:p w14:paraId="3DDC5E8A"/>
    <w:p w14:paraId="72374787">
      <w:bookmarkStart w:id="0" w:name="_GoBack"/>
      <w:bookmarkEnd w:id="0"/>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SongStd-Light">
    <w:altName w:val="DejaVu Math TeX Gyre"/>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de Latin">
    <w:altName w:val="Segoe Print"/>
    <w:panose1 w:val="020A0A070505050204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0FF4">
    <w:pPr>
      <w:spacing w:beforeLines="0" w:afterLines="0" w:line="320" w:lineRule="atLeast"/>
      <w:jc w:val="center"/>
      <w:rPr>
        <w:rFonts w:hint="default" w:ascii="Times New Roman" w:hAnsi="Times New Roman" w:eastAsia="Times New Roman"/>
        <w:sz w:val="24"/>
        <w:szCs w:val="24"/>
      </w:rPr>
    </w:pP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PAGE</w:instrText>
    </w:r>
    <w:r>
      <w:rPr>
        <w:rFonts w:hint="default" w:ascii="Times New Roman" w:hAnsi="Times New Roman" w:eastAsia="Times New Roman"/>
        <w:sz w:val="24"/>
        <w:szCs w:val="24"/>
      </w:rPr>
      <w:fldChar w:fldCharType="separate"/>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7"/>
    <w:multiLevelType w:val="multilevel"/>
    <w:tmpl w:val="00000007"/>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de Latin" w:hAnsi="Wide Lati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9"/>
    <w:multiLevelType w:val="multilevel"/>
    <w:tmpl w:val="00000009"/>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000000B"/>
    <w:multiLevelType w:val="multilevel"/>
    <w:tmpl w:val="0000000B"/>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de Latin" w:hAnsi="Wide Lati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15"/>
    <w:multiLevelType w:val="singleLevel"/>
    <w:tmpl w:val="00000015"/>
    <w:lvl w:ilvl="0" w:tentative="0">
      <w:start w:val="1"/>
      <w:numFmt w:val="bullet"/>
      <w:lvlText w:val="-"/>
      <w:lvlJc w:val="left"/>
      <w:pPr>
        <w:ind w:left="420" w:hanging="420"/>
      </w:pPr>
      <w:rPr>
        <w:rFonts w:hint="default" w:ascii="Wide Latin" w:hAnsi="Wide Latin"/>
      </w:rPr>
    </w:lvl>
  </w:abstractNum>
  <w:abstractNum w:abstractNumId="5">
    <w:nsid w:val="05232FE9"/>
    <w:multiLevelType w:val="multilevel"/>
    <w:tmpl w:val="05232FE9"/>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4B80B36"/>
    <w:multiLevelType w:val="multilevel"/>
    <w:tmpl w:val="14B80B36"/>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694378"/>
    <w:multiLevelType w:val="multilevel"/>
    <w:tmpl w:val="1B694378"/>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5AD42C8"/>
    <w:multiLevelType w:val="multilevel"/>
    <w:tmpl w:val="45AD42C8"/>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87F7193"/>
    <w:multiLevelType w:val="multilevel"/>
    <w:tmpl w:val="787F7193"/>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2"/>
  </w:num>
  <w:num w:numId="3">
    <w:abstractNumId w:val="9"/>
  </w:num>
  <w:num w:numId="4">
    <w:abstractNumId w:val="4"/>
  </w:num>
  <w:num w:numId="5">
    <w:abstractNumId w:val="0"/>
  </w:num>
  <w:num w:numId="6">
    <w:abstractNumId w:val="5"/>
  </w:num>
  <w:num w:numId="7">
    <w:abstractNumId w:val="6"/>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74D91"/>
    <w:rsid w:val="08603C8C"/>
    <w:rsid w:val="14CC3CE8"/>
    <w:rsid w:val="1E922FC2"/>
    <w:rsid w:val="337314AB"/>
    <w:rsid w:val="392A24E0"/>
    <w:rsid w:val="54E859EC"/>
    <w:rsid w:val="55E87E27"/>
    <w:rsid w:val="5FA26564"/>
    <w:rsid w:val="647F5C9F"/>
    <w:rsid w:val="6B4302CA"/>
    <w:rsid w:val="6B774D91"/>
    <w:rsid w:val="7569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
    <w:name w:val="heading 1"/>
    <w:basedOn w:val="1"/>
    <w:qFormat/>
    <w:uiPriority w:val="9"/>
    <w:pPr>
      <w:outlineLvl w:val="0"/>
    </w:pPr>
    <w:rPr>
      <w:rFonts w:cs="Times New Roman"/>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39"/>
    <w:pPr>
      <w:tabs>
        <w:tab w:val="right" w:leader="dot" w:pos="9349"/>
      </w:tabs>
    </w:pPr>
    <w:rPr>
      <w:rFonts w:ascii="Times New Roman" w:hAnsi="Times New Roman" w:eastAsia="仿宋_GB2312" w:cs="Times New Roman"/>
      <w:bCs/>
      <w:color w:val="auto"/>
      <w:sz w:val="28"/>
      <w:szCs w:val="28"/>
    </w:rPr>
  </w:style>
  <w:style w:type="paragraph" w:customStyle="1" w:styleId="7">
    <w:name w:val="正文三号仿宋标"/>
    <w:basedOn w:val="1"/>
    <w:qFormat/>
    <w:uiPriority w:val="0"/>
    <w:rPr>
      <w:rFonts w:ascii="仿宋_GB2312" w:eastAsia="仿宋_GB2312"/>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2025-01-22T05:55:00Z</dcterms:created>
  <dc:creator>赵旭</dc:creator>
  <cp:lastModifiedBy>赵旭</cp:lastModifiedBy>
  <dcterms:modified xsi:type="dcterms:W3CDTF">2025-01-22T07:36:37Z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7BF3C31406664ED299EF2DCB4B7D18CA_13</vt:lpwstr>
  </property>
  <property fmtid="{D5CDD505-2E9C-101B-9397-08002B2CF9AE}" pid="4" name="KSOTemplateDocerSaveRecord">
    <vt:lpwstr>eyJoZGlkIjoiYjQ4NmM3ZGU0MzFkYTQzMTExZDdhYTk5MDczNzcxNmUifQ==</vt:lpwstr>
  </property>
</Properties>
</file>